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F1181D">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F1181D">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F1181D">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F1181D">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a14 · wine-phyto-price-forecast</w:t>
      </w:r>
    </w:p>
    <w:p w14:paraId="77EA3F8E" w14:textId="77777777" w:rsidR="00ED73C6" w:rsidRDefault="00F1181D">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F1181D">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Septiembre 2026</w:t>
      </w:r>
    </w:p>
    <w:p w14:paraId="262CD268" w14:textId="77777777" w:rsidR="00ED73C6" w:rsidRDefault="00F1181D">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F1181D"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rsidRPr="00821A28"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F1181D">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Pr="00821A28" w:rsidRDefault="00F1181D">
            <w:pPr>
              <w:rPr>
                <w:lang w:val="en-US"/>
              </w:rPr>
            </w:pPr>
            <w:r w:rsidRPr="00821A28">
              <w:rPr>
                <w:lang w:val="en-US"/>
              </w:rPr>
              <w:t>ml14-wine-phyto-price-forecast</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F1181D">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F1181D">
            <w:r>
              <w:t>1.0.0</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F1181D">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F1181D">
            <w:r>
              <w:t>Modelo de predicción semanal del índice MAPA de precios de protección fitosanitaria (sector vitivinícola, base 2020=100) a 16 semanas vista, mediante una red GRU (PyTorch, 2 capas, 64 unidades ocultas) que predice un residual sobre un baseline lineal de drift y reconstruye el precio en escala original. Es el artefacto y la evaluación oficialmente aprobados por el equipo de IA: en el test reportado, el GRU supera al baseline lineal de Drift.</w:t>
            </w:r>
          </w:p>
        </w:tc>
      </w:tr>
      <w:tr w:rsidR="00ED73C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F1181D">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Default="00F1181D">
            <w:r>
              <w:t>Regresión de serie temporal, horizonte fijo t+16 semanas (direct forecasting sobre residual de drift)</w:t>
            </w:r>
          </w:p>
        </w:tc>
      </w:tr>
      <w:tr w:rsidR="00ED73C6"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F1181D">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Default="00F1181D">
            <w:r>
              <w:t>PyTorch (nn.GRU, 2 capas, hidden_size=64, dropout=0.3); scikit-learn (StandardScaler, reajustado desde el dataset de entrenamiento en cada predicción); pandas / numpy</w:t>
            </w:r>
          </w:p>
        </w:tc>
      </w:tr>
      <w:tr w:rsidR="00ED73C6"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F1181D">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Default="00F1181D">
            <w:r>
              <w:t>gru_model.pt (state_dict PyTorch, 45.185 parámetros) + final_dataset_for_modeling.csv (dataset de referencia bundled, usado para reajustar los escaladores de entrada/objetivo en cada predicción, igual que hace el código original)</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F1181D">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F1181D">
            <w:r>
              <w:t>Anticipar con 16 semanas de antelación la evolución del índice nacional de precios de protección fitosanitaria, para dar soporte a la planificación de compras y a la evaluación de riesgo de coste del sector vitivinícola. En la evaluación de test reportada por el equipo de IA, el modelo GRU mejora de forma clara sobre el baseline de tendencia simple (Drift) y sobre no hacer ningún cambio (Naive).</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F1181D">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F1181D">
            <w:r>
              <w:t xml:space="preserve">Modo predict inline y predict batch (idéntico cálculo, solo cambia el transporte del histórico — JSON o CSV): se aporta un histórico semanal continuo (frecuencia domingo, sin huecos ni duplicados) de al menos 24 semanas con 6 variables base (índice de protección fitosanitaria, carburantes, cobre, gas, petróleo Brent, tipo de cambio EUR/USD); el servicio deriva automáticamente las 39 features (estacionalidad, retardos de 4/8/12 semanas, medias móviles de 4/8 semanas, diferencia mensual) y devuelve el precio </w:t>
            </w:r>
            <w:r>
              <w:t xml:space="preserve">predicho a 16 semanas, el precio actual y el baseline de drift de referencia. También admite reentrenamiento por usuario (/train): con un histórico </w:t>
            </w:r>
            <w:r>
              <w:lastRenderedPageBreak/>
              <w:t>semanal propio repite el procedimiento del equipo de IA para la GRU y guarda el modelo resultante en MLflow, sin sustituir nunca el modelo base.</w:t>
            </w:r>
          </w:p>
        </w:tc>
      </w:tr>
    </w:tbl>
    <w:p w14:paraId="0E4A03E1" w14:textId="164C9CA4" w:rsidR="00ED73C6" w:rsidRDefault="00D12B9E" w:rsidP="00D12B9E">
      <w:pPr>
        <w:pStyle w:val="Caption"/>
        <w:jc w:val="center"/>
      </w:pPr>
      <w:bookmarkStart w:id="2" w:name="_Toc233977640"/>
      <w:r>
        <w:t xml:space="preserve">Tabla </w:t>
      </w:r>
      <w:fldSimple w:instr=" SEQ Tabla \* ARABIC ">
        <w:r>
          <w:rPr>
            <w:noProof/>
          </w:rPr>
          <w:t>2</w:t>
        </w:r>
      </w:fldSimple>
      <w:r>
        <w:t xml:space="preserve"> Información general del modelo</w:t>
      </w:r>
      <w:bookmarkEnd w:id="2"/>
    </w:p>
    <w:p w14:paraId="48838E47" w14:textId="77777777" w:rsidR="00ED73C6" w:rsidRPr="00D12B9E" w:rsidRDefault="00F1181D" w:rsidP="00D12B9E">
      <w:pPr>
        <w:pStyle w:val="Heading1"/>
        <w:jc w:val="left"/>
      </w:pPr>
      <w:bookmarkStart w:id="3" w:name="_Toc233977724"/>
      <w:r>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F1181D">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F1181D">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F1181D">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F1181D">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F1181D">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F1181D">
            <w:r>
              <w:t>rows (histórico semanal, mínimo 24 filas)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F1181D">
            <w:r>
              <w:t>list[dict]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F1181D">
            <w:r>
              <w:t>Cada fila: date (YYYY-MM-DD, domingo), PROTECCION_FITO, CARBURANTES, COPPER_EUR_TON, GAS_EUR_MMBTU, COIL_EUR_BARRIL, DEXUSEU — todas índices/precios base 2020=100 o unidad de mercado (EUR/tonelada, EUR/MMBtu, EUR/barril, USD/EUR)</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F1181D">
            <w:r>
              <w:t>Sí — mínimo 24 filas semanales consecutivas sin huecos ni duplicados</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F1181D">
            <w:r>
              <w:t>-</w:t>
            </w:r>
          </w:p>
        </w:tc>
      </w:tr>
      <w:tr w:rsidR="00ED73C6" w14:paraId="1FE635B9"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3521FD" w14:textId="77777777" w:rsidR="00ED73C6" w:rsidRPr="00821A28" w:rsidRDefault="00F1181D">
            <w:pPr>
              <w:rPr>
                <w:lang w:val="en-US"/>
              </w:rPr>
            </w:pPr>
            <w:r w:rsidRPr="00821A28">
              <w:rPr>
                <w:lang w:val="en-US"/>
              </w:rPr>
              <w:t>MONTH, MONTH_SIN, MONTH_COS, *_LAG_{4,8,12}, *_MA_{4,8}, *_DIFF_MONTH (39 features totales)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65D655" w14:textId="77777777" w:rsidR="00ED73C6" w:rsidRDefault="00F1181D">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DC322E" w14:textId="77777777" w:rsidR="00ED73C6" w:rsidRDefault="00F1181D">
            <w:r>
              <w:t>Variables derivadas automáticamente del histórico aportado (estacionalidad, retardos autorregresivos, medias móviles, diferencia mensual) — nunca se piden al cliente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7DC423" w14:textId="77777777" w:rsidR="00ED73C6" w:rsidRDefault="00F1181D">
            <w:r>
              <w:t>No — siempre calculadas por el servicio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DA39C0" w14:textId="77777777" w:rsidR="00ED73C6" w:rsidRDefault="00F1181D">
            <w:r>
              <w:t>derivadas del histórico</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F1181D" w:rsidP="00D12B9E">
      <w:pPr>
        <w:pStyle w:val="Heading1"/>
        <w:jc w:val="left"/>
      </w:pPr>
      <w:bookmarkStart w:id="5" w:name="_Toc233977725"/>
      <w:r>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F1181D">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F1181D">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F1181D">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F1181D">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F1181D">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Default="00F1181D">
            <w:r>
              <w:t>predicted_price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F1181D">
            <w:r>
              <w:t>float (índice base 2020=100)</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F1181D">
            <w:r>
              <w:t>PROTECCION_FITO predicho a 16 semanas vista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F1181D">
            <w:r>
              <w:t>continuo, típicamente 80-135 (rango histórico del índice, 2005-2025)</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F1181D">
            <w:r>
              <w:t xml:space="preserve">valor esperado del índice nacional dentro de 16 semanas; comparar con current_price </w:t>
            </w:r>
            <w:r>
              <w:lastRenderedPageBreak/>
              <w:t>y drift_baseline</w:t>
            </w:r>
          </w:p>
        </w:tc>
      </w:tr>
      <w:tr w:rsidR="00ED73C6" w14:paraId="1F19BB5C"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A7ABCF" w14:textId="77777777" w:rsidR="00ED73C6" w:rsidRDefault="00F1181D">
            <w:r>
              <w:t>current_price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477077C" w14:textId="77777777" w:rsidR="00ED73C6" w:rsidRDefault="00F1181D">
            <w:r>
              <w:t>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566C702" w14:textId="77777777" w:rsidR="00ED73C6" w:rsidRDefault="00F1181D">
            <w:r>
              <w:t>PROTECCION_FITO de la última fila del histórico aportado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2ED82F3" w14:textId="77777777" w:rsidR="00ED73C6" w:rsidRDefault="00F1181D">
            <w:r>
              <w:t>igual rango que predicted_price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CC57B58" w14:textId="77777777" w:rsidR="00ED73C6" w:rsidRDefault="00F1181D">
            <w:r>
              <w:t>ancla de referencia inmediata</w:t>
            </w:r>
          </w:p>
        </w:tc>
      </w:tr>
      <w:tr w:rsidR="00ED73C6" w14:paraId="6BCAD536"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9356A7A" w14:textId="77777777" w:rsidR="00ED73C6" w:rsidRDefault="00F1181D">
            <w:r>
              <w:t>drift_baseline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428AAF" w14:textId="77777777" w:rsidR="00ED73C6" w:rsidRDefault="00F1181D">
            <w:r>
              <w:t>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0CF368B" w14:textId="77777777" w:rsidR="00ED73C6" w:rsidRDefault="00F1181D">
            <w:r>
              <w:t>Baseline lineal simple (extrapolación de la tendencia mensual reciente) — la referencia frente a la que el GRU sí mejora en el test reportado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86C133E" w14:textId="77777777" w:rsidR="00ED73C6" w:rsidRDefault="00F1181D">
            <w:r>
              <w:t>igual rango que predicted_price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52AF376" w14:textId="77777777" w:rsidR="00ED73C6" w:rsidRDefault="00F1181D">
            <w:r>
              <w:t>la diferencia entre predicted_price y drift_baseline es la corrección que aporta el modelo aprendido sobre la simple extrapolación de tendencia</w:t>
            </w:r>
          </w:p>
        </w:tc>
      </w:tr>
      <w:tr w:rsidR="00ED73C6" w14:paraId="285A3C56"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626AF5" w14:textId="77777777" w:rsidR="00ED73C6" w:rsidRPr="00821A28" w:rsidRDefault="00F1181D">
            <w:pPr>
              <w:rPr>
                <w:lang w:val="en-US"/>
              </w:rPr>
            </w:pPr>
            <w:r w:rsidRPr="00821A28">
              <w:rPr>
                <w:lang w:val="en-US"/>
              </w:rPr>
              <w:t>horizon_weeks / last_observed_date / prediction_date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AE1A09" w14:textId="77777777" w:rsidR="00ED73C6" w:rsidRDefault="00F1181D">
            <w:r>
              <w:t>int / date / date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B29ADB9" w14:textId="77777777" w:rsidR="00ED73C6" w:rsidRDefault="00F1181D">
            <w:r>
              <w:t>Horizonte (siempre 16), última fecha del histórico y fecha objetivo de la predicción (last_observed_date + 16 semanas)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FA85FA" w14:textId="77777777" w:rsidR="00ED73C6" w:rsidRDefault="00F1181D">
            <w:r>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DF26D5D" w14:textId="77777777" w:rsidR="00ED73C6" w:rsidRDefault="00F1181D">
            <w:r>
              <w:t>prediction_date es la fecha a la que se refiere predicted_price, no la fecha de ejecución</w:t>
            </w:r>
          </w:p>
        </w:tc>
      </w:tr>
      <w:tr w:rsidR="00ED73C6" w14:paraId="1B7D1AF2"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8C987E2" w14:textId="77777777" w:rsidR="00ED73C6" w:rsidRDefault="00F1181D">
            <w:r>
              <w:t>gap_warning</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66EBE5E" w14:textId="77777777" w:rsidR="00ED73C6" w:rsidRDefault="00F1181D">
            <w:r>
              <w:t>string | null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18A111C" w14:textId="77777777" w:rsidR="00ED73C6" w:rsidRDefault="00F1181D">
            <w:r>
              <w:t>Aviso si el histórico aportado está desactualizado respecto a la fecha de ejecución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BF4DC4" w14:textId="77777777" w:rsidR="00ED73C6" w:rsidRDefault="00F1181D">
            <w:r>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1735F0" w14:textId="77777777" w:rsidR="00ED73C6" w:rsidRDefault="00F1181D">
            <w:r>
              <w:t>si no es null, la predicción se basa en datos que ya no reflejan la semana actual</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F1181D" w:rsidP="00D12B9E">
      <w:pPr>
        <w:pStyle w:val="Heading1"/>
        <w:jc w:val="left"/>
      </w:pPr>
      <w:bookmarkStart w:id="7" w:name="_Toc233977726"/>
      <w:r>
        <w:lastRenderedPageBreak/>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F1181D">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F1181D">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F1181D">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F1181D">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Default="00F1181D">
            <w:r>
              <w:t>Test reportado (models/metrics/model_comparison.json, split temporal único 80/20)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Default="00F1181D">
            <w:r>
              <w:t>GRU: RMSE=2,2873; MAE=1,699; MAPE=1,3933%; R²=0,7108; acierto direccional=77,7%</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Default="00F1181D">
            <w:r>
              <w:t>211 observaciones de test, arquitectura seleccionada automáticamente por menor RMSE entre GRU/LSTM/XGBoost (media de 3 semillas)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F1181D">
            <w:r>
              <w:t>el modelo se equivoca de media 1,70 puntos de índice en el periodo evaluado</w:t>
            </w:r>
          </w:p>
        </w:tc>
      </w:tr>
      <w:tr w:rsidR="00ED73C6" w14:paraId="58ADE35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7F78D4" w14:textId="77777777" w:rsidR="00ED73C6" w:rsidRPr="00821A28" w:rsidRDefault="00F1181D">
            <w:pPr>
              <w:rPr>
                <w:lang w:val="en-US"/>
              </w:rPr>
            </w:pPr>
            <w:r w:rsidRPr="00821A28">
              <w:rPr>
                <w:lang w:val="en-US"/>
              </w:rPr>
              <w:t>Drift (baseline lineal, mismo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4B185D" w14:textId="77777777" w:rsidR="00ED73C6" w:rsidRDefault="00F1181D">
            <w:r>
              <w:t>RMSE=2,5406; MAE=1,9403; MAPE=1,58%; R²=0,6432; acierto direccional=72,0%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DF255DE" w14:textId="77777777" w:rsidR="00ED73C6" w:rsidRDefault="00F1181D">
            <w:r>
              <w:t>Extrapolar la tendencia mensual reciente, sin ningún modelo aprendido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4D4F452" w14:textId="77777777" w:rsidR="00ED73C6" w:rsidRDefault="00F1181D">
            <w:r>
              <w:t>el GRU se equivoca MENOS que el baseline simple en las 4 métricas evaluadas — el criterio de aceptación del proyecto (RMSE_GRU &lt; RMSE_Drift) SÍ se cumple.</w:t>
            </w:r>
          </w:p>
        </w:tc>
      </w:tr>
      <w:tr w:rsidR="00ED73C6" w14:paraId="4912B470"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F7CD50" w14:textId="77777777" w:rsidR="00ED73C6" w:rsidRDefault="00F1181D">
            <w:r>
              <w:t>Naive y XGBoost (mismo test, referencia adicional)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8C32D4" w14:textId="77777777" w:rsidR="00ED73C6" w:rsidRDefault="00F1181D">
            <w:r>
              <w:t>Naive: RMSE=3,8856; XGBoost: RMSE=3,3076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86D4C5" w14:textId="77777777" w:rsidR="00ED73C6" w:rsidRDefault="00F1181D">
            <w:r>
              <w:t>Ambos peores que Drift y que el GRU en esta evaluación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9D56AA" w14:textId="77777777" w:rsidR="00ED73C6" w:rsidRDefault="00F1181D">
            <w:r>
              <w:t>confirma que el GRU es la mejor opción disponible entre todas las evaluadas, no solo frente al baseline más simple</w:t>
            </w:r>
          </w:p>
        </w:tc>
      </w:tr>
      <w:tr w:rsidR="00ED73C6" w14:paraId="53C37713"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A1101D" w14:textId="77777777" w:rsidR="00ED73C6" w:rsidRDefault="00F1181D">
            <w:r>
              <w:t>Verificación golden dataset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6F42A29" w14:textId="77777777" w:rsidR="00ED73C6" w:rsidRDefault="00F1181D">
            <w:r>
              <w:t>5/5 casos, coincidencia exacta (diferencia 0,0) contra el endpoint HTTP real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024A06" w14:textId="77777777" w:rsidR="00ED73C6" w:rsidRDefault="00F1181D">
            <w:r>
              <w:t xml:space="preserve">4 ventanas históricas reales + 1 caso de rechazo controlado, re-ejecutados contra </w:t>
            </w:r>
            <w:r>
              <w:lastRenderedPageBreak/>
              <w:t>/predict del plugin integrado, incluida una verificación cruzada contra la salida literal del CLI original (`--model auto`) — ver outputs/a14/verification_report.md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DEADEF" w14:textId="77777777" w:rsidR="00ED73C6" w:rsidRDefault="00F1181D">
            <w:r>
              <w:lastRenderedPageBreak/>
              <w:t xml:space="preserve">el servicio integrado reproduce exactamente el comportamiento del artefacto GRU </w:t>
            </w:r>
            <w:r>
              <w:lastRenderedPageBreak/>
              <w:t>entregado, incluida la selección automática de arquitectura del código original.</w:t>
            </w:r>
          </w:p>
        </w:tc>
      </w:tr>
    </w:tbl>
    <w:p w14:paraId="1A7F9A77" w14:textId="4488DBEE" w:rsidR="00ED73C6" w:rsidRDefault="00D12B9E" w:rsidP="00D12B9E">
      <w:pPr>
        <w:pStyle w:val="Caption"/>
        <w:jc w:val="center"/>
      </w:pPr>
      <w:bookmarkStart w:id="8" w:name="_Toc233977643"/>
      <w:r>
        <w:t xml:space="preserve">Tabla </w:t>
      </w:r>
      <w:fldSimple w:instr=" SEQ Tabla \* ARABIC ">
        <w:r>
          <w:rPr>
            <w:noProof/>
          </w:rPr>
          <w:t>5</w:t>
        </w:r>
      </w:fldSimple>
      <w:r>
        <w:t xml:space="preserve"> Métricas de evaluación</w:t>
      </w:r>
      <w:bookmarkEnd w:id="8"/>
    </w:p>
    <w:p w14:paraId="2C5581FA" w14:textId="77777777" w:rsidR="00ED73C6" w:rsidRPr="00D12B9E" w:rsidRDefault="00F1181D" w:rsidP="00D12B9E">
      <w:pPr>
        <w:pStyle w:val="Heading1"/>
        <w:jc w:val="left"/>
      </w:pPr>
      <w:bookmarkStart w:id="9" w:name="_Toc233977727"/>
      <w:r>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F1181D">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F1181D">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F1181D">
            <w:r>
              <w:t>Evaluación con un único split temporal (sin partición de validación separada)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F1181D">
            <w:r>
              <w:t xml:space="preserve">Esta entrega evalúa arquitecturas y reporta el resultado final sobre el mismo split de test (80/20), sin una fase de validación previa aislada del test. Existe una copia distinta y no oficial de este mismo código (no confirmada como aprobada por el equipo de IA) que identificaba esto como una posible fuga de datos entre selección de arquitectura y evaluación, y que, con un protocolo corregido, obtenía un resultado distinto (un modelo que no superaba a Drift). Esa auditoría no se ha podido contrastar con el </w:t>
            </w:r>
            <w:r>
              <w:t>equipo de IA y no forma parte de la entrega aprobada -- se deja constancia de su existencia por transparencia, sin que determine el estado de aceptación de este modelo.</w:t>
            </w:r>
          </w:p>
        </w:tc>
      </w:tr>
      <w:tr w:rsidR="00ED73C6" w14:paraId="0AE4FBDC"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CBBF829" w14:textId="77777777" w:rsidR="00ED73C6" w:rsidRDefault="00F1181D">
            <w:r>
              <w:t>Reentrenamiento: requisitos y alcance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2BF1B9" w14:textId="77777777" w:rsidR="00ED73C6" w:rsidRDefault="00F1181D">
            <w:r>
              <w:t>El reentrenamiento por usuario repite el procedimiento del equipo de IA para la GRU (split temporal 80/20, 3 semillas, se guarda la de la semilla 42) con un histórico semanal en el formato del dataset de modelado o con las series en bruto. Como en el original, la parada temprana se decide sobre el propio periodo de test, así que sus métricas de test son optimistas. El modelo reentrenado solo se guarda en MLflow y se usa indicando su run; el modelo base no cambia.</w:t>
            </w:r>
          </w:p>
        </w:tc>
      </w:tr>
      <w:tr w:rsidR="00ED73C6" w14:paraId="4E98E9E6"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D9EDC80" w14:textId="77777777" w:rsidR="00ED73C6" w:rsidRDefault="00F1181D">
            <w:r>
              <w:lastRenderedPageBreak/>
              <w:t>Reajuste de escaladores en caliente, no un artefacto congelado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7DC91C" w14:textId="77777777" w:rsidR="00ED73C6" w:rsidRDefault="00F1181D">
            <w:r>
              <w:t>Esta entrega no incluye ningún escalador serializado -- el propio código original reajusta (fit) los escaladores de entrada/objetivo desde el dataset de entrenamiento bundled en cada predicción. Este servicio replica exactamente ese comportamiento, empaquetando el mismo dataset de referencia junto al modelo.</w:t>
            </w:r>
          </w:p>
        </w:tc>
      </w:tr>
      <w:tr w:rsidR="00ED73C6" w14:paraId="64525ED0"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51F545" w14:textId="77777777" w:rsidR="00ED73C6" w:rsidRDefault="00F1181D">
            <w:r>
              <w:t>Dependencia de fuentes de datos externas y su continuidad</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3B344D" w14:textId="77777777" w:rsidR="00ED73C6" w:rsidRDefault="00F1181D">
            <w:r>
              <w:t>Las variables de entrada dependen de la publicación continuada de los índices MAPA (protección fitosanitaria, carburantes) y de las series FRED/IMF/EIA (cobre, gas, petróleo, tipo de cambio). Un cambio de metodología o una interrupción en cualquiera de esas fuentes no está contemplado por el modelo.</w:t>
            </w:r>
          </w:p>
        </w:tc>
      </w:tr>
    </w:tbl>
    <w:p w14:paraId="23E22C97" w14:textId="02183EA3" w:rsidR="00ED73C6" w:rsidRDefault="00D12B9E" w:rsidP="00D12B9E">
      <w:pPr>
        <w:pStyle w:val="Caption"/>
        <w:jc w:val="center"/>
      </w:pPr>
      <w:bookmarkStart w:id="10" w:name="_Toc233977644"/>
      <w:r>
        <w:t xml:space="preserve">Tabla </w:t>
      </w:r>
      <w:fldSimple w:instr=" SEQ Tabla \* ARABIC ">
        <w:r>
          <w:rPr>
            <w:noProof/>
          </w:rPr>
          <w:t>6</w:t>
        </w:r>
      </w:fldSimple>
      <w:r>
        <w:t xml:space="preserve"> Limitaciones conocidas</w:t>
      </w:r>
      <w:bookmarkEnd w:id="10"/>
    </w:p>
    <w:p w14:paraId="36D55773" w14:textId="77777777" w:rsidR="00ED73C6" w:rsidRPr="00D12B9E" w:rsidRDefault="00F1181D" w:rsidP="00D12B9E">
      <w:pPr>
        <w:pStyle w:val="Heading1"/>
        <w:jc w:val="left"/>
      </w:pPr>
      <w:bookmarkStart w:id="11" w:name="_Toc233977728"/>
      <w:r>
        <w:t>6. Observaciones técnicas</w:t>
      </w:r>
      <w:bookmarkEnd w:id="11"/>
    </w:p>
    <w:p w14:paraId="3188B244" w14:textId="77777777" w:rsidR="00ED73C6" w:rsidRDefault="00F1181D" w:rsidP="00D12B9E">
      <w:pPr>
        <w:jc w:val="both"/>
      </w:pPr>
      <w:r>
        <w:t>Solo CPU, sin GPU (GRU pequeño, 45.185 parámetros, ~185 KB el artefacto). requirements.txt fija torch==2.10.0 sin distinguir variante CPU/CUDA — se recomienda fijar explícitamente la rueda CPU en el entorno de despliegue de este servicio para no arrastrar dependencias CUDA innecesarias. No requiere conexión a red en inferencia (el dataset de referencia va bundled).</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F1181D"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F1181D">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Default="00F1181D">
            <w:r>
              <w:t>Ventanas de 24 filas extraídas de data/processed/final_dataset_for_modeling.csv (mismo dataset bundled con el que se reajustan los escaladores)</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F1181D">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F1181D">
            <w:r>
              <w:t>5 casos: 4 ventanas históricas reales (24-30 filas cada una) + 1 caso de rechazo controlado con 23 filas (por debajo del mínimo operativo)</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F1181D">
            <w:r>
              <w:rPr>
                <w:b/>
                <w:bCs/>
                <w:color w:val="333333"/>
                <w:sz w:val="20"/>
                <w:szCs w:val="20"/>
              </w:rPr>
              <w:lastRenderedPageBreak/>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F1181D">
            <w:r>
              <w:t>predict inline sobre los 5 casos reproduce exactamente (diferencia 0,0, o HTTP 422 en el caso de rechazo) los golden_cases del manifest, ejecutado contra el endpoint HTTP real del plugin integrado con el artefacto PyTorch real cargado; un caso se verificó además contra la salida literal del CLI original del equipo de IA</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625E0" w14:textId="77777777" w:rsidR="00F1181D" w:rsidRDefault="00F1181D">
      <w:pPr>
        <w:spacing w:after="0" w:line="240" w:lineRule="auto"/>
      </w:pPr>
      <w:r>
        <w:separator/>
      </w:r>
    </w:p>
  </w:endnote>
  <w:endnote w:type="continuationSeparator" w:id="0">
    <w:p w14:paraId="410D74ED" w14:textId="77777777" w:rsidR="00F1181D" w:rsidRDefault="00F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4E8DB0F8-6491-4006-870D-D8B99AAAB8C6}"/>
    <w:embedBold r:id="rId2" w:fontKey="{2B646FE8-1A92-4382-A7E7-80AA8F16B5AA}"/>
    <w:embedBoldItalic r:id="rId3" w:fontKey="{2CD01430-C3B4-4A39-9F66-17798FF0CBAC}"/>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3C0C63AA-FE7D-49B5-A187-A8EE01056078}"/>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783AE7C-E567-42A6-B3E9-50630CA1D6CD}"/>
    <w:embedBold r:id="rId6" w:fontKey="{5222579A-3403-4CF8-9E6D-0DE286C0A7D6}"/>
  </w:font>
  <w:font w:name="DM Sans">
    <w:charset w:val="00"/>
    <w:family w:val="auto"/>
    <w:pitch w:val="variable"/>
    <w:sig w:usb0="8000002F" w:usb1="5000205B" w:usb2="00000000" w:usb3="00000000" w:csb0="00000093" w:csb1="00000000"/>
    <w:embedRegular r:id="rId7" w:fontKey="{493AEB90-22BC-4317-9DF2-ED5AEA29CEA7}"/>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F1181D">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F1181D">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F1181D">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75B2" w14:textId="77777777" w:rsidR="00F1181D" w:rsidRDefault="00F1181D">
      <w:pPr>
        <w:spacing w:after="0" w:line="240" w:lineRule="auto"/>
      </w:pPr>
      <w:r>
        <w:separator/>
      </w:r>
    </w:p>
  </w:footnote>
  <w:footnote w:type="continuationSeparator" w:id="0">
    <w:p w14:paraId="3D7CB39B" w14:textId="77777777" w:rsidR="00F1181D" w:rsidRDefault="00F11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F1181D">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F1181D">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F1181D">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a14 (</w:t>
    </w:r>
    <w:proofErr w:type="spellStart"/>
    <w:r>
      <w:rPr>
        <w:rFonts w:ascii="Liberalisation sans narrow" w:eastAsia="Liberalisation sans narrow" w:hAnsi="Liberalisation sans narrow" w:cs="Liberalisation sans narrow"/>
        <w:color w:val="000000"/>
      </w:rPr>
      <w:t>wine-phyto-price-forecast</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F1181D">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1E62B2"/>
    <w:rsid w:val="00470899"/>
    <w:rsid w:val="004B6D60"/>
    <w:rsid w:val="00821A28"/>
    <w:rsid w:val="00D12B9E"/>
    <w:rsid w:val="00ED73C6"/>
    <w:rsid w:val="00F118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1512</Words>
  <Characters>8319</Characters>
  <Application>Microsoft Office Word</Application>
  <DocSecurity>0</DocSecurity>
  <Lines>69</Lines>
  <Paragraphs>19</Paragraphs>
  <ScaleCrop>false</ScaleCrop>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2026-10-13T11:35:00Z</cp:lastPrinted>
  <dcterms:created xsi:type="dcterms:W3CDTF">2026-07-03T11:29:00Z</dcterms:created>
  <dcterms:modified xsi:type="dcterms:W3CDTF">2026-10-13T11:36:00Z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