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D87FC" w14:textId="77777777" w:rsidR="00ED73C6" w:rsidRDefault="00ED73C6">
      <w:pPr>
        <w:widowControl w:val="0"/>
        <w:pBdr>
          <w:top w:val="nil"/>
          <w:left w:val="nil"/>
          <w:bottom w:val="nil"/>
          <w:right w:val="nil"/>
          <w:between w:val="nil"/>
        </w:pBdr>
        <w:spacing w:after="0" w:line="276" w:lineRule="auto"/>
      </w:pPr>
    </w:p>
    <w:p w14:paraId="1F06B188" w14:textId="77777777" w:rsidR="00ED73C6" w:rsidRDefault="00386B12">
      <w:r>
        <w:rPr>
          <w:noProof/>
        </w:rPr>
        <w:drawing>
          <wp:anchor distT="0" distB="0" distL="114300" distR="114300" simplePos="0" relativeHeight="251658240" behindDoc="0" locked="0" layoutInCell="1" hidden="0" allowOverlap="1" wp14:anchorId="7490E72F" wp14:editId="7601E0FE">
            <wp:simplePos x="0" y="0"/>
            <wp:positionH relativeFrom="column">
              <wp:posOffset>590550</wp:posOffset>
            </wp:positionH>
            <wp:positionV relativeFrom="paragraph">
              <wp:posOffset>0</wp:posOffset>
            </wp:positionV>
            <wp:extent cx="3373120" cy="2032000"/>
            <wp:effectExtent l="0" t="0" r="0" b="0"/>
            <wp:wrapSquare wrapText="bothSides" distT="0" distB="0" distL="114300" distR="114300"/>
            <wp:docPr id="1001" name="image5.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jpg" descr="A logo with green leaves  AI-generated content may be incorrect."/>
                    <pic:cNvPicPr preferRelativeResize="0"/>
                  </pic:nvPicPr>
                  <pic:blipFill>
                    <a:blip r:embed="rId9"/>
                    <a:srcRect/>
                    <a:stretch>
                      <a:fillRect/>
                    </a:stretch>
                  </pic:blipFill>
                  <pic:spPr>
                    <a:xfrm>
                      <a:off x="0" y="0"/>
                      <a:ext cx="3373120" cy="2032000"/>
                    </a:xfrm>
                    <a:prstGeom prst="rect">
                      <a:avLst/>
                    </a:prstGeom>
                    <a:ln/>
                  </pic:spPr>
                </pic:pic>
              </a:graphicData>
            </a:graphic>
          </wp:anchor>
        </w:drawing>
      </w:r>
    </w:p>
    <w:p w14:paraId="5ED55FDB" w14:textId="77777777" w:rsidR="00ED73C6" w:rsidRDefault="00ED73C6"/>
    <w:p w14:paraId="3ACB5044" w14:textId="77777777" w:rsidR="00ED73C6" w:rsidRDefault="00ED73C6"/>
    <w:p w14:paraId="24D31646" w14:textId="77777777" w:rsidR="00ED73C6" w:rsidRDefault="00386B12">
      <w:r>
        <w:rPr>
          <w:noProof/>
        </w:rPr>
        <w:drawing>
          <wp:anchor distT="0" distB="0" distL="114300" distR="114300" simplePos="0" relativeHeight="251659264" behindDoc="0" locked="0" layoutInCell="1" hidden="0" allowOverlap="1" wp14:anchorId="41217845" wp14:editId="3C0FBC9E">
            <wp:simplePos x="0" y="0"/>
            <wp:positionH relativeFrom="column">
              <wp:posOffset>2634615</wp:posOffset>
            </wp:positionH>
            <wp:positionV relativeFrom="paragraph">
              <wp:posOffset>130810</wp:posOffset>
            </wp:positionV>
            <wp:extent cx="2266950" cy="1295400"/>
            <wp:effectExtent l="0" t="0" r="0" b="0"/>
            <wp:wrapNone/>
            <wp:docPr id="1002" name="image1.png" descr="A black background with white text and brown lin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white text and brown lines  AI-generated content may be incorrect."/>
                    <pic:cNvPicPr preferRelativeResize="0"/>
                  </pic:nvPicPr>
                  <pic:blipFill>
                    <a:blip r:embed="rId10"/>
                    <a:srcRect/>
                    <a:stretch>
                      <a:fillRect/>
                    </a:stretch>
                  </pic:blipFill>
                  <pic:spPr>
                    <a:xfrm>
                      <a:off x="0" y="0"/>
                      <a:ext cx="2266950" cy="1295400"/>
                    </a:xfrm>
                    <a:prstGeom prst="rect">
                      <a:avLst/>
                    </a:prstGeom>
                    <a:ln/>
                  </pic:spPr>
                </pic:pic>
              </a:graphicData>
            </a:graphic>
          </wp:anchor>
        </w:drawing>
      </w:r>
    </w:p>
    <w:p w14:paraId="510A3F8A" w14:textId="77777777" w:rsidR="00ED73C6" w:rsidRDefault="00ED73C6"/>
    <w:p w14:paraId="11346F3F" w14:textId="77777777" w:rsidR="00ED73C6" w:rsidRDefault="00ED73C6"/>
    <w:p w14:paraId="239C7CC2" w14:textId="77777777" w:rsidR="00ED73C6" w:rsidRDefault="00ED73C6"/>
    <w:p w14:paraId="456AF325" w14:textId="77777777" w:rsidR="00ED73C6" w:rsidRDefault="00ED73C6"/>
    <w:p w14:paraId="32FEB606" w14:textId="77777777" w:rsidR="00ED73C6" w:rsidRDefault="00ED73C6">
      <w:pPr>
        <w:jc w:val="right"/>
      </w:pPr>
    </w:p>
    <w:p w14:paraId="7099C703" w14:textId="77777777" w:rsidR="00ED73C6" w:rsidRDefault="00ED73C6"/>
    <w:p w14:paraId="5674BF31" w14:textId="77777777" w:rsidR="00ED73C6" w:rsidRDefault="00ED73C6"/>
    <w:p w14:paraId="57D79371" w14:textId="77777777" w:rsidR="00ED73C6" w:rsidRDefault="00ED73C6">
      <w:pPr>
        <w:rPr>
          <w:rFonts w:ascii="Liberation Sans Regular" w:eastAsia="Liberation Sans Regular" w:hAnsi="Liberation Sans Regular" w:cs="Liberation Sans Regular"/>
          <w:color w:val="203441"/>
          <w:sz w:val="44"/>
          <w:szCs w:val="44"/>
        </w:rPr>
      </w:pPr>
    </w:p>
    <w:p w14:paraId="04402B53" w14:textId="77777777" w:rsidR="00ED73C6" w:rsidRDefault="00386B12">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técnica del modelo</w:t>
      </w:r>
    </w:p>
    <w:p w14:paraId="2CCAB764" w14:textId="77777777" w:rsidR="00ED73C6" w:rsidRDefault="00386B12">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a18 · meat-spatial-price-forecast</w:t>
      </w:r>
    </w:p>
    <w:p w14:paraId="77EA3F8E" w14:textId="77777777" w:rsidR="00ED73C6" w:rsidRDefault="00386B12">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Especificación técnica para integración en la plataforma DatagIA</w:t>
      </w:r>
    </w:p>
    <w:p w14:paraId="70952EAF" w14:textId="77777777" w:rsidR="00ED73C6" w:rsidRDefault="00386B12">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Octubre 2026</w:t>
      </w:r>
    </w:p>
    <w:p w14:paraId="262CD268" w14:textId="77777777" w:rsidR="00ED73C6" w:rsidRDefault="00386B12">
      <w:r>
        <w:rPr>
          <w:noProof/>
        </w:rPr>
        <w:drawing>
          <wp:anchor distT="0" distB="0" distL="0" distR="0" simplePos="0" relativeHeight="251660288" behindDoc="1" locked="0" layoutInCell="1" hidden="0" allowOverlap="1" wp14:anchorId="42C3D32A" wp14:editId="6D88BCF5">
            <wp:simplePos x="0" y="0"/>
            <wp:positionH relativeFrom="margin">
              <wp:align>center</wp:align>
            </wp:positionH>
            <wp:positionV relativeFrom="margin">
              <wp:align>center</wp:align>
            </wp:positionV>
            <wp:extent cx="5397500" cy="5280025"/>
            <wp:effectExtent l="0" t="0" r="0" b="0"/>
            <wp:wrapNone/>
            <wp:docPr id="10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397500" cy="5280025"/>
                    </a:xfrm>
                    <a:prstGeom prst="rect">
                      <a:avLst/>
                    </a:prstGeom>
                    <a:ln/>
                  </pic:spPr>
                </pic:pic>
              </a:graphicData>
            </a:graphic>
          </wp:anchor>
        </w:drawing>
      </w:r>
      <w:r>
        <w:br w:type="page"/>
      </w:r>
    </w:p>
    <w:p w14:paraId="73C6066A" w14:textId="77777777" w:rsidR="00ED73C6" w:rsidRPr="00D12B9E" w:rsidRDefault="00386B12" w:rsidP="00D12B9E">
      <w:pPr>
        <w:pStyle w:val="Heading1"/>
        <w:jc w:val="left"/>
      </w:pPr>
      <w:bookmarkStart w:id="0" w:name="_heading=h.33jjin156j5n" w:colFirst="0" w:colLast="0"/>
      <w:bookmarkStart w:id="1" w:name="_Toc233977723"/>
      <w:bookmarkEnd w:id="0"/>
      <w:r>
        <w:lastRenderedPageBreak/>
        <w:t>1. Información general del modelo</w:t>
      </w:r>
      <w:bookmarkEnd w:id="1"/>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D73C6" w14:paraId="1AB946D2"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EF0F73D" w14:textId="77777777" w:rsidR="00ED73C6" w:rsidRDefault="00386B12">
            <w:r>
              <w:rPr>
                <w:b/>
                <w:bCs/>
                <w:color w:val="333333"/>
                <w:sz w:val="20"/>
                <w:szCs w:val="20"/>
              </w:rPr>
              <w:t>Nombre del modelo (model_key)</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4D4993D6" w14:textId="77777777" w:rsidR="00ED73C6" w:rsidRDefault="00386B12">
            <w:r>
              <w:t>ml18-meat-spatial-price-forecast</w:t>
            </w:r>
          </w:p>
        </w:tc>
      </w:tr>
      <w:tr w:rsidR="00ED73C6" w14:paraId="2B5210AD"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0DEA41B" w14:textId="77777777" w:rsidR="00ED73C6" w:rsidRDefault="00386B12">
            <w:r>
              <w:rPr>
                <w:b/>
                <w:bCs/>
                <w:color w:val="333333"/>
                <w:sz w:val="20"/>
                <w:szCs w:val="20"/>
              </w:rPr>
              <w:t>Versión</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84A7408" w14:textId="77777777" w:rsidR="00ED73C6" w:rsidRDefault="00386B12">
            <w:r>
              <w:t>1.0.0</w:t>
            </w:r>
          </w:p>
        </w:tc>
      </w:tr>
      <w:tr w:rsidR="00ED73C6" w14:paraId="02B4508D"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656986A" w14:textId="77777777" w:rsidR="00ED73C6" w:rsidRDefault="00386B12">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4321CCA3" w14:textId="77777777" w:rsidR="00ED73C6" w:rsidRDefault="00386B12">
            <w:r>
              <w:t>Modelo de predicción espacio-temporal del precio medio por kg de productos cárnicos en España, a un mes vista, por combinación Comunidad Autónoma (CCAA) - Producto, mediante una red GRU (Keras/TensorFlow) que incorpora lags espaciales de las CCAA vecinas además de variables socioeconómicas (población, renta) y de consumo (MAPA/INE).</w:t>
            </w:r>
          </w:p>
        </w:tc>
      </w:tr>
      <w:tr w:rsidR="00ED73C6" w14:paraId="6EFECFCA"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A82E1B3" w14:textId="77777777" w:rsidR="00ED73C6" w:rsidRDefault="00386B12">
            <w:r>
              <w:rPr>
                <w:b/>
                <w:bCs/>
                <w:color w:val="333333"/>
                <w:sz w:val="20"/>
                <w:szCs w:val="20"/>
              </w:rPr>
              <w:t>Tipo de tarea (task_type)</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A197DDF" w14:textId="77777777" w:rsidR="00ED73C6" w:rsidRDefault="00386B12">
            <w:r>
              <w:t>Regresión de serie temporal espacial (panel CCAA x Producto), horizonte fijo t+1 mes</w:t>
            </w:r>
          </w:p>
        </w:tc>
      </w:tr>
      <w:tr w:rsidR="00ED73C6" w14:paraId="51B3BC95"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0767B48" w14:textId="77777777" w:rsidR="00ED73C6" w:rsidRDefault="00386B12">
            <w:r>
              <w:rPr>
                <w:b/>
                <w:bCs/>
                <w:color w:val="333333"/>
                <w:sz w:val="20"/>
                <w:szCs w:val="20"/>
              </w:rPr>
              <w:t>Framework</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1C645F96" w14:textId="77777777" w:rsidR="00ED73C6" w:rsidRDefault="00386B12">
            <w:r>
              <w:t>TensorFlow/Keras (GRU, 96 unidades, Dropout 0.2, Dense 32 + Dense 1); scikit-learn (StandardScaler, serializado como JSON); pandas / numpy</w:t>
            </w:r>
          </w:p>
        </w:tc>
      </w:tr>
      <w:tr w:rsidR="00ED73C6" w14:paraId="4C8DFFDF"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75677B8" w14:textId="77777777" w:rsidR="00ED73C6" w:rsidRDefault="00386B12">
            <w:r>
              <w:rPr>
                <w:b/>
                <w:bCs/>
                <w:color w:val="333333"/>
                <w:sz w:val="20"/>
                <w:szCs w:val="20"/>
              </w:rPr>
              <w:t>Fichero del artefacto</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B3BB4A5" w14:textId="77777777" w:rsidR="00ED73C6" w:rsidRDefault="00386B12">
            <w:r>
              <w:t>model.joblib (bundle {model_json, weights} de un modelo Keras Sequential) + x_scaler.json + y_scaler.json</w:t>
            </w:r>
          </w:p>
        </w:tc>
      </w:tr>
      <w:tr w:rsidR="00ED73C6" w14:paraId="3C91287B"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E9DF75B" w14:textId="77777777" w:rsidR="00ED73C6" w:rsidRDefault="00386B12">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0D276D1A" w14:textId="77777777" w:rsidR="00ED73C6" w:rsidRDefault="00386B12">
            <w:r>
              <w:t>Anticipar con un mes de antelación la evolución del precio medio por kg de productos cárnicos en cada Comunidad Autónoma, incorporando la influencia de los mercados de regiones vecinas, para dar soporte a la planificación de compras y a la evaluación de riesgo de coste en la cadena de suministro cárnica. El caso de uso de negocio (CU06) define el objetivo central y validado como la predicción espacio-temporal del precio -- la lectura adicional de 'modas y gustos' del título original se ofrece como interpret</w:t>
            </w:r>
            <w:r>
              <w:t>ación exploratoria, no como resultado cuantificado de forma independiente.</w:t>
            </w:r>
          </w:p>
        </w:tc>
      </w:tr>
      <w:tr w:rsidR="00ED73C6" w14:paraId="09F81BAA"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7CACCB4" w14:textId="77777777" w:rsidR="00ED73C6" w:rsidRDefault="00386B12">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A1BDCF3" w14:textId="77777777" w:rsidR="00ED73C6" w:rsidRDefault="00386B12">
            <w:r>
              <w:t>Modo predict inline y predict batch (idéntico cálculo, solo cambia el transporte del panel -- JSON o CSV): se aporta un panel mensual de al menos 12 meses consecutivos por cada combinación CCAA-Producto que se quiera predecir (Fecha, CCAA, Producto, Poblacion, RentaHogar, CONSUMO X CAPITA, PENETRACION (%), PRECIO MEDIO KG). Opcionalmente se puede aportar también el histórico de las CCAA vecinas para que el lag espacial use su valor real; si no se aporta, el servicio usa el propio valor de la CCAA como alter</w:t>
            </w:r>
            <w:r>
              <w:t xml:space="preserve">nativa razonable (mismo comportamiento que el código original, documentado explícitamente en la memoria). El servicio genera automáticamente la fila del </w:t>
            </w:r>
            <w:r>
              <w:lastRenderedPageBreak/>
              <w:t>mes siguiente a predecir -- no hace falta aportarla. También admite reentrenamiento por usuario (/train): con un CSV en el mismo formato que el dataset de modelado del equipo de IA, repite su procedimiento completo (GRU desde cero, split temporal 70/15/15, parada temprana) y guarda el modelo resultante en MLflow, sin sustituir nunca el modelo base.</w:t>
            </w:r>
          </w:p>
        </w:tc>
      </w:tr>
    </w:tbl>
    <w:p w14:paraId="0E4A03E1" w14:textId="164C9CA4" w:rsidR="00ED73C6" w:rsidRDefault="00D12B9E" w:rsidP="00D12B9E">
      <w:pPr>
        <w:pStyle w:val="Caption"/>
        <w:jc w:val="center"/>
      </w:pPr>
      <w:bookmarkStart w:id="2" w:name="_Toc233977640"/>
      <w:r>
        <w:t xml:space="preserve">Tabla </w:t>
      </w:r>
      <w:fldSimple w:instr=" SEQ Tabla \* ARABIC ">
        <w:r>
          <w:rPr>
            <w:noProof/>
          </w:rPr>
          <w:t>2</w:t>
        </w:r>
      </w:fldSimple>
      <w:r>
        <w:t xml:space="preserve"> Información general del modelo</w:t>
      </w:r>
      <w:bookmarkEnd w:id="2"/>
    </w:p>
    <w:p w14:paraId="48838E47" w14:textId="77777777" w:rsidR="00ED73C6" w:rsidRPr="00D12B9E" w:rsidRDefault="00386B12" w:rsidP="00D12B9E">
      <w:pPr>
        <w:pStyle w:val="Heading1"/>
        <w:jc w:val="left"/>
      </w:pPr>
      <w:bookmarkStart w:id="3" w:name="_Toc233977724"/>
      <w:r>
        <w:t>2. Campos de entrada (inputs)</w:t>
      </w:r>
      <w:bookmarkEnd w:id="3"/>
    </w:p>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7"/>
        <w:gridCol w:w="1384"/>
        <w:gridCol w:w="3055"/>
        <w:gridCol w:w="1307"/>
        <w:gridCol w:w="1447"/>
      </w:tblGrid>
      <w:tr w:rsidR="00ED73C6" w14:paraId="71F932B9" w14: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9F614D4" w14:textId="77777777" w:rsidR="00ED73C6" w:rsidRDefault="00386B12">
            <w:r>
              <w:rPr>
                <w:b/>
                <w:bCs/>
                <w:color w:val="1F4E8F"/>
                <w:sz w:val="20"/>
                <w:szCs w:val="20"/>
              </w:rPr>
              <w:t>Nombre del campo</w:t>
            </w:r>
          </w:p>
        </w:tc>
        <w:tc>
          <w:tcPr>
            <w:tcW w:w="1384"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089FD74" w14:textId="77777777" w:rsidR="00ED73C6" w:rsidRDefault="00386B12">
            <w:r>
              <w:rPr>
                <w:b/>
                <w:bCs/>
                <w:color w:val="1F4E8F"/>
                <w:sz w:val="20"/>
                <w:szCs w:val="20"/>
              </w:rPr>
              <w:t>Tipo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8CD2F77" w14:textId="77777777" w:rsidR="00ED73C6" w:rsidRDefault="00386B12">
            <w:r>
              <w:rPr>
                <w:b/>
                <w:bCs/>
                <w:color w:val="1F4E8F"/>
                <w:sz w:val="20"/>
                <w:szCs w:val="20"/>
              </w:rPr>
              <w:t>Descripción</w:t>
            </w:r>
          </w:p>
        </w:tc>
        <w:tc>
          <w:tcPr>
            <w:tcW w:w="130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2A2F0D2" w14:textId="77777777" w:rsidR="00ED73C6" w:rsidRDefault="00386B12">
            <w:r>
              <w:rPr>
                <w:b/>
                <w:bCs/>
                <w:color w:val="1F4E8F"/>
                <w:sz w:val="20"/>
                <w:szCs w:val="20"/>
              </w:rPr>
              <w:t>Obligatorio</w:t>
            </w:r>
          </w:p>
        </w:tc>
        <w:tc>
          <w:tcPr>
            <w:tcW w:w="144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FFDAD95" w14:textId="77777777" w:rsidR="00ED73C6" w:rsidRDefault="00386B12">
            <w:r>
              <w:rPr>
                <w:b/>
                <w:bCs/>
                <w:color w:val="1F4E8F"/>
                <w:sz w:val="20"/>
                <w:szCs w:val="20"/>
              </w:rPr>
              <w:t>Valor por defecto</w:t>
            </w:r>
          </w:p>
        </w:tc>
      </w:tr>
      <w:tr w:rsidR="00ED73C6" w14:paraId="5943B210"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74456BA" w14:textId="77777777" w:rsidR="00ED73C6" w:rsidRDefault="00386B12">
            <w:r>
              <w:t>rows (panel mensual, mínimo 12 filas por combinación CCAA-Producto)</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3BFE475" w14:textId="77777777" w:rsidR="00ED73C6" w:rsidRDefault="00386B12">
            <w:r>
              <w:t>list[dict]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3AC0988" w14:textId="77777777" w:rsidR="00ED73C6" w:rsidRDefault="00386B12">
            <w:r>
              <w:t>Cada fila: Fecha (YYYY-MM-01), CCAA, Producto, Poblacion, RentaHogar, CONSUMO X CAPITA, PENETRACION (%), PRECIO MEDIO KG (opcional solo en la última fila conocida)</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9F6ACFB" w14:textId="77777777" w:rsidR="00ED73C6" w:rsidRDefault="00386B12">
            <w:r>
              <w:t>Sí -- mínimo 12 meses consecutivos por cada combinación CCAA-Producto a predecir</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756D559" w14:textId="77777777" w:rsidR="00ED73C6" w:rsidRDefault="00386B12">
            <w:r>
              <w:t>-</w:t>
            </w:r>
          </w:p>
        </w:tc>
      </w:tr>
      <w:tr w:rsidR="00ED73C6" w14:paraId="648BFF06"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B4BA89E" w14:textId="77777777" w:rsidR="00ED73C6" w:rsidRDefault="00386B12">
            <w:r>
              <w:t>month_sin, month_cos, PRECIO_MEDIO_KG_PROPIO, LAG_CONSUMO_VECINOS, LAG_PRECIO_VECINOS</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0909DEC" w14:textId="77777777" w:rsidR="00ED73C6" w:rsidRDefault="00386B12">
            <w:r>
              <w:t>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7074F8F" w14:textId="77777777" w:rsidR="00ED73C6" w:rsidRDefault="00386B12">
            <w:r>
              <w:t>Variables derivadas automáticamente (estacionalidad, precio propio rezagado, lags espaciales de CCAA vecinas) -- nunca se piden al cliente</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E83FF35" w14:textId="77777777" w:rsidR="00ED73C6" w:rsidRDefault="00386B12">
            <w:r>
              <w:t>No -- siempre calculadas por el servicio</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8E2816D" w14:textId="77777777" w:rsidR="00ED73C6" w:rsidRDefault="00386B12">
            <w:r>
              <w:t>derivadas del histórico</w:t>
            </w:r>
          </w:p>
        </w:tc>
      </w:tr>
    </w:tbl>
    <w:p w14:paraId="2301E228" w14:textId="43111ADC" w:rsidR="00ED73C6" w:rsidRDefault="00D12B9E" w:rsidP="00D12B9E">
      <w:pPr>
        <w:pStyle w:val="Caption"/>
        <w:jc w:val="center"/>
      </w:pPr>
      <w:bookmarkStart w:id="4" w:name="_Toc233977641"/>
      <w:r>
        <w:t xml:space="preserve">Tabla </w:t>
      </w:r>
      <w:fldSimple w:instr=" SEQ Tabla \* ARABIC ">
        <w:r>
          <w:rPr>
            <w:noProof/>
          </w:rPr>
          <w:t>3</w:t>
        </w:r>
      </w:fldSimple>
      <w:r>
        <w:t xml:space="preserve"> Campos de entrada (inputs)</w:t>
      </w:r>
      <w:bookmarkEnd w:id="4"/>
    </w:p>
    <w:p w14:paraId="1A4DD035" w14:textId="77777777" w:rsidR="00ED73C6" w:rsidRPr="00D12B9E" w:rsidRDefault="00386B12" w:rsidP="00D12B9E">
      <w:pPr>
        <w:pStyle w:val="Heading1"/>
        <w:jc w:val="left"/>
      </w:pPr>
      <w:bookmarkStart w:id="5" w:name="_Toc233977725"/>
      <w:r>
        <w:t>3. Campos de salida (outputs)</w:t>
      </w:r>
      <w:bookmarkEnd w:id="5"/>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200"/>
        <w:gridCol w:w="2400"/>
        <w:gridCol w:w="1760"/>
        <w:gridCol w:w="1800"/>
      </w:tblGrid>
      <w:tr w:rsidR="00ED73C6" w14:paraId="74C19D16" w14: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36393328" w14:textId="77777777" w:rsidR="00ED73C6" w:rsidRDefault="00386B12">
            <w:r>
              <w:rPr>
                <w:b/>
                <w:bCs/>
                <w:color w:val="1F4E8F"/>
                <w:sz w:val="20"/>
                <w:szCs w:val="20"/>
              </w:rPr>
              <w:t>Nombre del campo</w:t>
            </w:r>
          </w:p>
        </w:tc>
        <w:tc>
          <w:tcPr>
            <w:tcW w:w="1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B6C5E52" w14:textId="77777777" w:rsidR="00ED73C6" w:rsidRDefault="00386B12">
            <w:r>
              <w:rPr>
                <w:b/>
                <w:bCs/>
                <w:color w:val="1F4E8F"/>
                <w:sz w:val="20"/>
                <w:szCs w:val="20"/>
              </w:rPr>
              <w:t>Tipo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76B52FF" w14:textId="77777777" w:rsidR="00ED73C6" w:rsidRDefault="00386B12">
            <w:r>
              <w:rPr>
                <w:b/>
                <w:bCs/>
                <w:color w:val="1F4E8F"/>
                <w:sz w:val="20"/>
                <w:szCs w:val="20"/>
              </w:rPr>
              <w:t>Descripción</w:t>
            </w:r>
          </w:p>
        </w:tc>
        <w:tc>
          <w:tcPr>
            <w:tcW w:w="176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B5BC6FF" w14:textId="77777777" w:rsidR="00ED73C6" w:rsidRDefault="00386B12">
            <w:r>
              <w:rPr>
                <w:b/>
                <w:bCs/>
                <w:color w:val="1F4E8F"/>
                <w:sz w:val="20"/>
                <w:szCs w:val="20"/>
              </w:rPr>
              <w:t>Rango de valores posibles</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AEDED9E" w14:textId="77777777" w:rsidR="00ED73C6" w:rsidRDefault="00386B12">
            <w:r>
              <w:rPr>
                <w:b/>
                <w:bCs/>
                <w:color w:val="1F4E8F"/>
                <w:sz w:val="20"/>
                <w:szCs w:val="20"/>
              </w:rPr>
              <w:t>Cómo interpretar el resultado</w:t>
            </w:r>
          </w:p>
        </w:tc>
      </w:tr>
      <w:tr w:rsidR="00ED73C6" w14:paraId="4B6C9425"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132C6A4" w14:textId="77777777" w:rsidR="00ED73C6" w:rsidRDefault="00386B12">
            <w:r>
              <w:t>predictions[].predicted_price</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3FB4F47" w14:textId="77777777" w:rsidR="00ED73C6" w:rsidRDefault="00386B12">
            <w:r>
              <w:t>float (€/kg)</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B1D3E7E" w14:textId="77777777" w:rsidR="00ED73C6" w:rsidRDefault="00386B12">
            <w:r>
              <w:t>Precio medio por kg predicho para el mes siguiente al histórico aportado</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BF35099" w14:textId="77777777" w:rsidR="00ED73C6" w:rsidRDefault="00386B12">
            <w:r>
              <w:t>continuo, positivo, típicamente 2-15 €/kg según producto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067DBEB" w14:textId="77777777" w:rsidR="00ED73C6" w:rsidRDefault="00386B12">
            <w:r>
              <w:t>valor esperado del precio dentro de un mes para esa combinación CCAA-Producto</w:t>
            </w:r>
          </w:p>
        </w:tc>
      </w:tr>
      <w:tr w:rsidR="00ED73C6" w14:paraId="6E48E388"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9C36D82" w14:textId="77777777" w:rsidR="00ED73C6" w:rsidRDefault="00386B12">
            <w:r>
              <w:lastRenderedPageBreak/>
              <w:t>predictions[].CCAA / Producto / Fecha</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94CF663" w14:textId="77777777" w:rsidR="00ED73C6" w:rsidRDefault="00386B12">
            <w:r>
              <w:t>str / str / date</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894E57E" w14:textId="77777777" w:rsidR="00ED73C6" w:rsidRDefault="00386B12">
            <w:r>
              <w:t>Identificación de la combinación predicha y el mes al que se refiere la predicción</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334EF16" w14:textId="77777777" w:rsidR="00ED73C6" w:rsidRDefault="00386B12">
            <w:r>
              <w:t>-</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0C4F071" w14:textId="77777777" w:rsidR="00ED73C6" w:rsidRDefault="00386B12">
            <w:r>
              <w:t>una entrada por cada combinación CCAA-Producto del payload con histórico suficiente</w:t>
            </w:r>
          </w:p>
        </w:tc>
      </w:tr>
    </w:tbl>
    <w:p w14:paraId="3CB96C1C" w14:textId="58E5926D" w:rsidR="00ED73C6" w:rsidRDefault="00D12B9E" w:rsidP="00D12B9E">
      <w:pPr>
        <w:pStyle w:val="Caption"/>
        <w:jc w:val="center"/>
      </w:pPr>
      <w:bookmarkStart w:id="6" w:name="_Toc233977642"/>
      <w:r>
        <w:t xml:space="preserve">Tabla </w:t>
      </w:r>
      <w:fldSimple w:instr=" SEQ Tabla \* ARABIC ">
        <w:r>
          <w:rPr>
            <w:noProof/>
          </w:rPr>
          <w:t>4</w:t>
        </w:r>
      </w:fldSimple>
      <w:r>
        <w:t xml:space="preserve"> Campos de salida (outputs)</w:t>
      </w:r>
      <w:bookmarkEnd w:id="6"/>
    </w:p>
    <w:p w14:paraId="30754C35" w14:textId="77777777" w:rsidR="00ED73C6" w:rsidRPr="00D12B9E" w:rsidRDefault="00386B12" w:rsidP="00D12B9E">
      <w:pPr>
        <w:pStyle w:val="Heading1"/>
        <w:jc w:val="left"/>
      </w:pPr>
      <w:bookmarkStart w:id="7" w:name="_Toc233977726"/>
      <w:r>
        <w:t>4. Métricas de evaluación</w:t>
      </w:r>
      <w:bookmarkEnd w:id="7"/>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ED73C6" w14:paraId="663A768A" w14:textId="77777777">
        <w:trPr>
          <w:tblHeader/>
        </w:trPr>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EF96586" w14:textId="77777777" w:rsidR="00ED73C6" w:rsidRDefault="00386B12">
            <w:r>
              <w:rPr>
                <w:b/>
                <w:bCs/>
                <w:color w:val="1F4E8F"/>
                <w:sz w:val="20"/>
                <w:szCs w:val="20"/>
              </w:rPr>
              <w:t>Métrica</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0B8781B" w14:textId="77777777" w:rsidR="00ED73C6" w:rsidRDefault="00386B12">
            <w:r>
              <w:rPr>
                <w:b/>
                <w:bCs/>
                <w:color w:val="1F4E8F"/>
                <w:sz w:val="20"/>
                <w:szCs w:val="20"/>
              </w:rPr>
              <w:t>Valor</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FE48704" w14:textId="77777777" w:rsidR="00ED73C6" w:rsidRDefault="00386B12">
            <w:r>
              <w:rPr>
                <w:b/>
                <w:bCs/>
                <w:color w:val="1F4E8F"/>
                <w:sz w:val="20"/>
                <w:szCs w:val="20"/>
              </w:rPr>
              <w:t>Descripción</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D1C6AD0" w14:textId="77777777" w:rsidR="00ED73C6" w:rsidRDefault="00386B12">
            <w:r>
              <w:rPr>
                <w:b/>
                <w:bCs/>
                <w:color w:val="1F4E8F"/>
                <w:sz w:val="20"/>
                <w:szCs w:val="20"/>
              </w:rPr>
              <w:t>Interpretación (qué significa para el usuario)</w:t>
            </w:r>
          </w:p>
        </w:tc>
      </w:tr>
      <w:tr w:rsidR="00ED73C6" w14:paraId="66471EDA"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31A7871" w14:textId="77777777" w:rsidR="00ED73C6" w:rsidRDefault="00386B12">
            <w:r>
              <w:t>Test holdout (split cronológico 70/15/15, 11.600 observaciones)</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98B665D" w14:textId="77777777" w:rsidR="00ED73C6" w:rsidRDefault="00386B12">
            <w:r>
              <w:t>MAE=1,0041; RMSE=2,2113; MAPE=9,93%; R²=0,811</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3E2B30F" w14:textId="77777777" w:rsidR="00ED73C6" w:rsidRDefault="00386B12">
            <w:r>
              <w:t>models/metrics/inference_metrics.json y models/artifacts/best_gru_df_2008_con_renta/metrics.json -- ambos reproducidos de forma independiente en este proceso de extracción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AFC25E8" w14:textId="77777777" w:rsidR="00ED73C6" w:rsidRDefault="00386B12">
            <w:r>
              <w:t>el modelo se equivoca de media un 9,93% en precio, muy por debajo del umbral de aceptación del 20% definido en la memoria</w:t>
            </w:r>
          </w:p>
        </w:tc>
      </w:tr>
      <w:tr w:rsidR="00ED73C6" w14:paraId="74640DD6"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D4DD95B" w14:textId="77777777" w:rsidR="00ED73C6" w:rsidRDefault="00386B12">
            <w:r>
              <w:t>Baselines de comparación (mismo test)</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E986920" w14:textId="77777777" w:rsidR="00ED73C6" w:rsidRDefault="00386B12">
            <w:r>
              <w:t>Naive estacional (lag-12): MAPE=14,12%, R²=0,673; Media histórica: MAPE=20,29%, R²=0,616</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805CE36" w14:textId="77777777" w:rsidR="00ED73C6" w:rsidRDefault="00386B12">
            <w:r>
              <w:t>Referencias mínimas evaluadas antes de consolidar el GRU</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1C4C271" w14:textId="77777777" w:rsidR="00ED73C6" w:rsidRDefault="00386B12">
            <w:r>
              <w:t>el GRU mejora sustancialmente sobre ambos baselines, confirmando que el modelo aprendido aporta valor real</w:t>
            </w:r>
          </w:p>
        </w:tc>
      </w:tr>
      <w:tr w:rsidR="00ED73C6" w14:paraId="5744C6C6"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D73D211" w14:textId="77777777" w:rsidR="00ED73C6" w:rsidRDefault="00386B12">
            <w:r>
              <w:t xml:space="preserve">Estudio de ablación (impacto del precio </w:t>
            </w:r>
            <w:r>
              <w:lastRenderedPageBreak/>
              <w:t>propio y los lags espaciales)</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F4EA261" w14:textId="77777777" w:rsidR="00ED73C6" w:rsidRDefault="00386B12">
            <w:r>
              <w:lastRenderedPageBreak/>
              <w:t xml:space="preserve">Sin ninguna señal de precio: MAPE=31,03%; con </w:t>
            </w:r>
            <w:r>
              <w:lastRenderedPageBreak/>
              <w:t>precio propio y vecino (configuración final): MAPE=9,93%</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6B832AA" w14:textId="77777777" w:rsidR="00ED73C6" w:rsidRDefault="00386B12">
            <w:r>
              <w:lastRenderedPageBreak/>
              <w:t xml:space="preserve">4 variantes comparadas: sin propio/con vecino </w:t>
            </w:r>
            <w:r>
              <w:lastRenderedPageBreak/>
              <w:t>(12,15%), con propio/sin vecino (10,12%), con propio y vecino (9,93%, final), sin ninguno (31,03%)</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37C6BEB" w14:textId="77777777" w:rsidR="00ED73C6" w:rsidRDefault="00386B12">
            <w:r>
              <w:lastRenderedPageBreak/>
              <w:t xml:space="preserve">alguna señal de precio (propio o espacial) es </w:t>
            </w:r>
            <w:r>
              <w:lastRenderedPageBreak/>
              <w:t>indispensable; las variables de demanda/renta por sí solas no bastan</w:t>
            </w:r>
          </w:p>
        </w:tc>
      </w:tr>
      <w:tr w:rsidR="00ED73C6" w14:paraId="5E6377BC"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48A80CF" w14:textId="77777777" w:rsidR="00ED73C6" w:rsidRDefault="00386B12">
            <w:r>
              <w:lastRenderedPageBreak/>
              <w:t>Verificación golden dataset (post-integración)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07C47BC" w14:textId="77777777" w:rsidR="00ED73C6" w:rsidRDefault="00386B12">
            <w:r>
              <w:t>5/5 casos, coincidencia exacta o sub-0,001% (diferencia de float32) contra el endpoint HTTP real</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AD8DC86" w14:textId="77777777" w:rsidR="00ED73C6" w:rsidRDefault="00386B12">
            <w:r>
              <w:t>4 combinaciones CCAA-Producto reales + 1 caso de rechazo controlado, re-ejecutados contra /predict del plugin integrado, cruzados además contra la salida literal del CLI original (--forecast y --backtest) -- ver outputs/a18/verification_report.md</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C90E9BA" w14:textId="77777777" w:rsidR="00ED73C6" w:rsidRDefault="00386B12">
            <w:r>
              <w:t>el servicio integrado reproduce exactamente el comportamiento del artefacto GRU entregado, incluido el caso de una CCAA insular sin vecinas (Baleares)</w:t>
            </w:r>
          </w:p>
        </w:tc>
      </w:tr>
    </w:tbl>
    <w:p w14:paraId="1A7F9A77" w14:textId="4488DBEE" w:rsidR="00ED73C6" w:rsidRDefault="00D12B9E" w:rsidP="00D12B9E">
      <w:pPr>
        <w:pStyle w:val="Caption"/>
        <w:jc w:val="center"/>
      </w:pPr>
      <w:bookmarkStart w:id="8" w:name="_Toc233977643"/>
      <w:r>
        <w:t xml:space="preserve">Tabla </w:t>
      </w:r>
      <w:fldSimple w:instr=" SEQ Tabla \* ARABIC ">
        <w:r>
          <w:rPr>
            <w:noProof/>
          </w:rPr>
          <w:t>5</w:t>
        </w:r>
      </w:fldSimple>
      <w:r>
        <w:t xml:space="preserve"> Métricas de evaluación</w:t>
      </w:r>
      <w:bookmarkEnd w:id="8"/>
    </w:p>
    <w:p w14:paraId="2C5581FA" w14:textId="77777777" w:rsidR="00ED73C6" w:rsidRPr="00D12B9E" w:rsidRDefault="00386B12" w:rsidP="00D12B9E">
      <w:pPr>
        <w:pStyle w:val="Heading1"/>
        <w:jc w:val="left"/>
      </w:pPr>
      <w:bookmarkStart w:id="9" w:name="_Toc233977727"/>
      <w:r>
        <w:t>5. Limitaciones conocidas</w:t>
      </w:r>
      <w:bookmarkEnd w:id="9"/>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ED73C6" w14:paraId="5ACF6CCD" w14: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76816E1" w14:textId="77777777" w:rsidR="00ED73C6" w:rsidRDefault="00386B12">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F42A562" w14:textId="77777777" w:rsidR="00ED73C6" w:rsidRDefault="00386B12">
            <w:r>
              <w:rPr>
                <w:b/>
                <w:bCs/>
                <w:color w:val="1F4E8F"/>
                <w:sz w:val="20"/>
                <w:szCs w:val="20"/>
              </w:rPr>
              <w:t>Descripción (cuándo no usar / qué puede fallar)</w:t>
            </w:r>
          </w:p>
        </w:tc>
      </w:tr>
      <w:tr w:rsidR="00ED73C6" w14:paraId="221304F4"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6419EF2" w14:textId="77777777" w:rsidR="00ED73C6" w:rsidRDefault="00386B12">
            <w:r>
              <w:t>Frecuencia mensual</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E7B7A63" w14:textId="77777777" w:rsidR="00ED73C6" w:rsidRDefault="00386B12">
            <w:r>
              <w:t>El modelo opera con granularidad mensual. Aunque esto aporta estabilidad y reduce el ruido, no captura fluctuaciones de precio intramensuales que podrían ser relevantes para decisiones de inventario de muy corto plazo en productos perecederos (advertencia explícita de la memoria).</w:t>
            </w:r>
          </w:p>
        </w:tc>
      </w:tr>
      <w:tr w:rsidR="00ED73C6" w14:paraId="55736A13"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8F5482E" w14:textId="77777777" w:rsidR="00ED73C6" w:rsidRDefault="00386B12">
            <w:r>
              <w:t>Deriva de datos entre validación y test</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4DEE13A" w14:textId="77777777" w:rsidR="00ED73C6" w:rsidRDefault="00386B12">
            <w:r>
              <w:t>La memoria documenta un descenso del R² de 0,843 en validación a 0,811 en test, y recomienda una alerta operativa si el MAPE de inferencia supera el 15% durante 3 ejecuciones consecutivas, o un reentrenamiento programado trimestral.</w:t>
            </w:r>
          </w:p>
        </w:tc>
      </w:tr>
      <w:tr w:rsidR="00ED73C6" w14:paraId="2295879D"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7B94C58" w14:textId="77777777" w:rsidR="00ED73C6" w:rsidRDefault="00386B12">
            <w:r>
              <w:lastRenderedPageBreak/>
              <w:t>Fallback a valor propio en CCAA sin vecindad geográfica (Baleares, Canarias)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AB2A5F6" w14:textId="77777777" w:rsidR="00ED73C6" w:rsidRDefault="00386B12">
            <w:r>
              <w:t>El lag espacial de estas dos comunidades insulares usa su propio valor como aproximación (no hay CCAA vecina definida en la matriz de vecindad). Es un comportamiento documentado y verificado (ver golden_cases caso Baleares), no un error -- pero implica que la señal espacial no aporta información adicional para estas dos regiones.</w:t>
            </w:r>
          </w:p>
        </w:tc>
      </w:tr>
      <w:tr w:rsidR="00ED73C6" w14:paraId="7385A46E"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D80632E" w14:textId="77777777" w:rsidR="00ED73C6" w:rsidRDefault="00386B12">
            <w:r>
              <w:t>Reentrenamiento: requisitos y coste</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169D10D" w14:textId="77777777" w:rsidR="00ED73C6" w:rsidRDefault="00386B12">
            <w:r>
              <w:t>El reentrenamiento por usuario repite el procedimiento del equipo de IA desde cero (no ajuste fino) y necesita un histórico mensual en el formato del dataset de modelado con suficientes fechas para el split temporal 70/15/15 y más de 12 meses por combinación CCAA-Producto. Con el dataset completo tarda unos 2,5 minutos en CPU dentro de la petición. El modelo reentrenado solo se guarda en MLflow y se usa indicando su run; el modelo base no cambia.</w:t>
            </w:r>
          </w:p>
        </w:tc>
      </w:tr>
      <w:tr w:rsidR="00ED73C6" w14:paraId="2062023C"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901FF74" w14:textId="77777777" w:rsidR="00ED73C6" w:rsidRDefault="00386B12">
            <w:r>
              <w:t>Dependencia de fuentes de datos externas (MAPA/INE)</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CB1E9C6" w14:textId="77777777" w:rsidR="00ED73C6" w:rsidRDefault="00386B12">
            <w:r>
              <w:t>El dataset depende de la publicación anual del panel de consumo MAPA y de los indicadores de población/renta del INE (este último con hasta 12 meses de retraso). Si una fuente no se actualiza, el modelo en producción sigue siendo válido para el periodo anterior, pero no debe reentrenarse hasta restablecer los datos (protocolo explícito en el README).</w:t>
            </w:r>
          </w:p>
        </w:tc>
      </w:tr>
    </w:tbl>
    <w:p w14:paraId="23E22C97" w14:textId="02183EA3" w:rsidR="00ED73C6" w:rsidRDefault="00D12B9E" w:rsidP="00D12B9E">
      <w:pPr>
        <w:pStyle w:val="Caption"/>
        <w:jc w:val="center"/>
      </w:pPr>
      <w:bookmarkStart w:id="10" w:name="_Toc233977644"/>
      <w:r>
        <w:t xml:space="preserve">Tabla </w:t>
      </w:r>
      <w:fldSimple w:instr=" SEQ Tabla \* ARABIC ">
        <w:r>
          <w:rPr>
            <w:noProof/>
          </w:rPr>
          <w:t>6</w:t>
        </w:r>
      </w:fldSimple>
      <w:r>
        <w:t xml:space="preserve"> Limitaciones conocidas</w:t>
      </w:r>
      <w:bookmarkEnd w:id="10"/>
    </w:p>
    <w:p w14:paraId="36D55773" w14:textId="77777777" w:rsidR="00ED73C6" w:rsidRPr="00D12B9E" w:rsidRDefault="00386B12" w:rsidP="00D12B9E">
      <w:pPr>
        <w:pStyle w:val="Heading1"/>
        <w:jc w:val="left"/>
      </w:pPr>
      <w:bookmarkStart w:id="11" w:name="_Toc233977728"/>
      <w:r>
        <w:t>6. Observaciones técnicas</w:t>
      </w:r>
      <w:bookmarkEnd w:id="11"/>
    </w:p>
    <w:p w14:paraId="3188B244" w14:textId="77777777" w:rsidR="00ED73C6" w:rsidRDefault="00386B12" w:rsidP="00D12B9E">
      <w:pPr>
        <w:jc w:val="both"/>
      </w:pPr>
      <w:r>
        <w:t>Solo CPU, sin GPU (GRU pequeño, arquitectura 96 unidades). El modelo se serializa como bundle joblib {model_json, weights}, no en formato nativo .keras/.h5 -- la reconstrucción usa tf.keras.models.model_from_json + set_weights, igual que el código original. requirements.txt del entregable fija tensorflow==2.20.0; el repo ya tiene tensorflow&gt;=2.15.0 como dependencia para otro plugin (ml3), sin conflicto de versión.</w:t>
      </w:r>
    </w:p>
    <w:p w14:paraId="642BAC39" w14:textId="77777777" w:rsidR="00ED73C6" w:rsidRDefault="00ED73C6"/>
    <w:p w14:paraId="6AE49187" w14:textId="77777777" w:rsidR="00D12B9E" w:rsidRDefault="00D12B9E"/>
    <w:p w14:paraId="3CCD1455" w14:textId="77777777" w:rsidR="00D12B9E" w:rsidRDefault="00D12B9E"/>
    <w:p w14:paraId="03DFC7FC" w14:textId="77777777" w:rsidR="00D12B9E" w:rsidRDefault="00D12B9E"/>
    <w:p w14:paraId="3E74D38E" w14:textId="77777777" w:rsidR="00D12B9E" w:rsidRDefault="00D12B9E"/>
    <w:p w14:paraId="0B8151BB" w14:textId="77777777" w:rsidR="00D12B9E" w:rsidRDefault="00D12B9E"/>
    <w:p w14:paraId="53E05546" w14:textId="77777777" w:rsidR="00D12B9E" w:rsidRDefault="00D12B9E"/>
    <w:p w14:paraId="7A7AF885" w14:textId="77777777" w:rsidR="00ED73C6" w:rsidRPr="00D12B9E" w:rsidRDefault="00386B12" w:rsidP="00D12B9E">
      <w:pPr>
        <w:pStyle w:val="Heading1"/>
        <w:jc w:val="left"/>
      </w:pPr>
      <w:bookmarkStart w:id="12" w:name="_Toc233977729"/>
      <w:r>
        <w:t>7. Fichero de prueba de referencia</w:t>
      </w:r>
      <w:bookmarkEnd w:id="12"/>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D73C6" w14:paraId="7CCEFEF5"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A9D0325" w14:textId="77777777" w:rsidR="00ED73C6" w:rsidRDefault="00386B12">
            <w:r>
              <w:rPr>
                <w:b/>
                <w:bCs/>
                <w:color w:val="333333"/>
                <w:sz w:val="20"/>
                <w:szCs w:val="20"/>
              </w:rPr>
              <w:t>Nombre del fichero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548E93F5" w14:textId="77777777" w:rsidR="00ED73C6" w:rsidRDefault="00386B12">
            <w:r>
              <w:t>Ventanas reales de 12 meses (+ histórico de CCAA vecinas cuando existen) extraídas de data/processed/model_ready/dataset_modelado_desde_2008.csv</w:t>
            </w:r>
          </w:p>
        </w:tc>
      </w:tr>
      <w:tr w:rsidR="00ED73C6" w14:paraId="183575F5"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C17FEDB" w14:textId="77777777" w:rsidR="00ED73C6" w:rsidRDefault="00386B12">
            <w:r>
              <w:rPr>
                <w:b/>
                <w:bCs/>
                <w:color w:val="333333"/>
                <w:sz w:val="20"/>
                <w:szCs w:val="20"/>
              </w:rPr>
              <w:t>Número de registros / muestras</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F98E928" w14:textId="77777777" w:rsidR="00ED73C6" w:rsidRDefault="00386B12">
            <w:r>
              <w:t>5 casos: 4 combinaciones CCAA-Producto reales (incluida una CCAA insular sin vecinas) + 1 caso de rechazo controlado con 11 filas (por debajo del mínimo de 12)</w:t>
            </w:r>
          </w:p>
        </w:tc>
      </w:tr>
      <w:tr w:rsidR="00ED73C6" w14:paraId="1BF4E262"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5FAE3FC" w14:textId="77777777" w:rsidR="00ED73C6" w:rsidRDefault="00386B12">
            <w:r>
              <w:rPr>
                <w:b/>
                <w:bCs/>
                <w:color w:val="333333"/>
                <w:sz w:val="20"/>
                <w:szCs w:val="20"/>
              </w:rPr>
              <w:t>Resultado esperado con este fichero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15092C4A" w14:textId="77777777" w:rsidR="00ED73C6" w:rsidRDefault="00386B12">
            <w:r>
              <w:t>predict inline sobre los 5 casos reproduce exactamente (o con diferencia de float32 irrelevante) los golden_cases del manifest, ejecutado contra el endpoint HTTP real del plugin integrado con el artefacto TensorFlow/Keras real cargado, cruzado además contra la salida literal del CLI original del equipo de IA en modo --forecast y --backtest</w:t>
            </w:r>
          </w:p>
        </w:tc>
      </w:tr>
    </w:tbl>
    <w:p w14:paraId="3773E7D0" w14:textId="48983DD0" w:rsidR="00ED73C6" w:rsidRPr="00D12B9E" w:rsidRDefault="00D12B9E" w:rsidP="00D12B9E">
      <w:pPr>
        <w:pStyle w:val="Caption"/>
        <w:jc w:val="center"/>
      </w:pPr>
      <w:bookmarkStart w:id="13" w:name="_Toc233977645"/>
      <w:r>
        <w:t xml:space="preserve">Tabla </w:t>
      </w:r>
      <w:fldSimple w:instr=" SEQ Tabla \* ARABIC ">
        <w:r>
          <w:rPr>
            <w:noProof/>
          </w:rPr>
          <w:t>7</w:t>
        </w:r>
      </w:fldSimple>
      <w:r>
        <w:t xml:space="preserve"> Fichero de prueba de referencia</w:t>
      </w:r>
      <w:bookmarkEnd w:id="13"/>
    </w:p>
    <w:sectPr w:rsidR="00ED73C6" w:rsidRPr="00D12B9E">
      <w:headerReference w:type="even" r:id="rId12"/>
      <w:headerReference w:type="default" r:id="rId13"/>
      <w:footerReference w:type="default" r:id="rId14"/>
      <w:footerReference w:type="first" r: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9AC7A" w14:textId="77777777" w:rsidR="00386B12" w:rsidRDefault="00386B12">
      <w:pPr>
        <w:spacing w:after="0" w:line="240" w:lineRule="auto"/>
      </w:pPr>
      <w:r>
        <w:separator/>
      </w:r>
    </w:p>
  </w:endnote>
  <w:endnote w:type="continuationSeparator" w:id="0">
    <w:p w14:paraId="6C6DB089" w14:textId="77777777" w:rsidR="00386B12" w:rsidRDefault="00386B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44E7B8DC-1B80-4C20-B67B-660352D3CF67}"/>
    <w:embedBold r:id="rId2" w:fontKey="{CA2CABB7-029F-43BB-8659-4570F2B8839E}"/>
    <w:embedBoldItalic r:id="rId3" w:fontKey="{987927C2-5748-4D60-96AB-E0B68B0E7BF9}"/>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DB572EE9-1E71-45DB-8A7E-C6A8B9DBD212}"/>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EF42EBB3-5754-47C5-B21A-370C71514347}"/>
    <w:embedBold r:id="rId6" w:fontKey="{97AC7E0A-AC1E-462D-BB36-0CEF5D35C947}"/>
  </w:font>
  <w:font w:name="DM Sans">
    <w:charset w:val="00"/>
    <w:family w:val="auto"/>
    <w:pitch w:val="variable"/>
    <w:sig w:usb0="8000002F" w:usb1="5000205B" w:usb2="00000000" w:usb3="00000000" w:csb0="00000093" w:csb1="00000000"/>
    <w:embedRegular r:id="rId7" w:fontKey="{D239445F-2638-4F8D-9BC9-A85F5DF15553}"/>
  </w:font>
  <w:font w:name="Liberation Sans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21838" w14:textId="77777777" w:rsidR="00ED73C6" w:rsidRDefault="00386B12">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F96D757" wp14:editId="68D00BDB">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1063B5F1" wp14:editId="5C4788CF">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3F58581F" wp14:editId="3B397ED2">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27C304CC" wp14:editId="7F9BDD06">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7907EF70" w14:textId="77777777" w:rsidR="00ED73C6" w:rsidRDefault="00ED73C6">
    <w:pPr>
      <w:pBdr>
        <w:top w:val="single" w:sz="4" w:space="1" w:color="D9D9D9"/>
        <w:left w:val="nil"/>
        <w:bottom w:val="nil"/>
        <w:right w:val="nil"/>
        <w:between w:val="nil"/>
      </w:pBdr>
      <w:tabs>
        <w:tab w:val="center" w:pos="4252"/>
        <w:tab w:val="right" w:pos="8504"/>
      </w:tabs>
      <w:spacing w:after="0" w:line="240" w:lineRule="auto"/>
      <w:rPr>
        <w:b/>
        <w:bCs/>
        <w:color w:val="000000"/>
      </w:rPr>
    </w:pPr>
  </w:p>
  <w:p w14:paraId="40798663" w14:textId="77777777" w:rsidR="00ED73C6" w:rsidRDefault="00386B12">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29044" w14:textId="77777777" w:rsidR="00ED73C6" w:rsidRDefault="00386B12">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197B23FF" wp14:editId="2420A802">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13DA1B50" wp14:editId="31568396">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5F02DBD2" wp14:editId="0BB7E853">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2958743F" wp14:editId="4170624A">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14B57CDD" w14:textId="77777777" w:rsidR="00ED73C6" w:rsidRDefault="00ED73C6">
    <w:pPr>
      <w:pBdr>
        <w:top w:val="nil"/>
        <w:left w:val="nil"/>
        <w:bottom w:val="nil"/>
        <w:right w:val="nil"/>
        <w:between w:val="nil"/>
      </w:pBdr>
      <w:tabs>
        <w:tab w:val="center" w:pos="4252"/>
        <w:tab w:val="right" w:pos="8504"/>
      </w:tabs>
      <w:spacing w:after="0" w:line="240" w:lineRule="auto"/>
      <w:rPr>
        <w:color w:val="000000"/>
      </w:rPr>
    </w:pPr>
  </w:p>
  <w:p w14:paraId="1183DCF1" w14:textId="77777777" w:rsidR="00ED73C6" w:rsidRDefault="00ED73C6">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69649" w14:textId="77777777" w:rsidR="00386B12" w:rsidRDefault="00386B12">
      <w:pPr>
        <w:spacing w:after="0" w:line="240" w:lineRule="auto"/>
      </w:pPr>
      <w:r>
        <w:separator/>
      </w:r>
    </w:p>
  </w:footnote>
  <w:footnote w:type="continuationSeparator" w:id="0">
    <w:p w14:paraId="6E890165" w14:textId="77777777" w:rsidR="00386B12" w:rsidRDefault="00386B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E80DA" w14:textId="77777777" w:rsidR="00ED73C6" w:rsidRDefault="00386B12">
    <w:pPr>
      <w:pBdr>
        <w:top w:val="nil"/>
        <w:left w:val="nil"/>
        <w:bottom w:val="nil"/>
        <w:right w:val="nil"/>
        <w:between w:val="nil"/>
      </w:pBdr>
      <w:tabs>
        <w:tab w:val="center" w:pos="4252"/>
        <w:tab w:val="right" w:pos="8504"/>
      </w:tabs>
      <w:spacing w:after="0" w:line="240" w:lineRule="auto"/>
      <w:rPr>
        <w:color w:val="000000"/>
      </w:rPr>
    </w:pPr>
    <w:r>
      <w:rPr>
        <w:color w:val="000000"/>
      </w:rPr>
      <w:pict w14:anchorId="7A7276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5C506" w14:textId="77777777" w:rsidR="00ED73C6" w:rsidRDefault="00386B12">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142C8EEB" wp14:editId="0C737683">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35443931" w14:textId="77777777" w:rsidR="00ED73C6" w:rsidRDefault="00386B12">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D12B9E">
      <w:rPr>
        <w:rFonts w:ascii="Liberalisation sans narrow" w:eastAsia="Liberalisation sans narrow" w:hAnsi="Liberalisation sans narrow" w:cs="Liberalisation sans narrow"/>
        <w:noProof/>
        <w:color w:val="000000"/>
      </w:rPr>
      <w:t>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técnica – Modelo a18 (meat-spatial-price-forecast)</w:t>
    </w:r>
  </w:p>
  <w:p w14:paraId="1552E79E" w14:textId="77777777" w:rsidR="00ED73C6" w:rsidRDefault="00386B12">
    <w:pPr>
      <w:pBdr>
        <w:top w:val="nil"/>
        <w:left w:val="nil"/>
        <w:bottom w:val="nil"/>
        <w:right w:val="nil"/>
        <w:between w:val="nil"/>
      </w:pBdr>
      <w:tabs>
        <w:tab w:val="center" w:pos="4252"/>
        <w:tab w:val="right" w:pos="8504"/>
      </w:tabs>
      <w:spacing w:after="0" w:line="240" w:lineRule="auto"/>
      <w:rPr>
        <w:color w:val="000000"/>
      </w:rPr>
    </w:pPr>
    <w:r>
      <w:rPr>
        <w:color w:val="000000"/>
      </w:rPr>
      <w:pict w14:anchorId="449628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3B5816"/>
    <w:multiLevelType w:val="multilevel"/>
    <w:tmpl w:val="38825718"/>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847403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3C6"/>
    <w:rsid w:val="000E5724"/>
    <w:rsid w:val="002D0E8C"/>
    <w:rsid w:val="00386B12"/>
    <w:rsid w:val="004B6D60"/>
    <w:rsid w:val="00D12B9E"/>
    <w:rsid w:val="00E95D3A"/>
    <w:rsid w:val="00ED73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8250F"/>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40" w:line="240" w:lineRule="auto"/>
      <w:jc w:val="center"/>
      <w:outlineLvl w:val="0"/>
    </w:pPr>
    <w:rPr>
      <w:b/>
      <w:bCs/>
      <w:color w:val="1B2E2F"/>
      <w:sz w:val="36"/>
      <w:szCs w:val="36"/>
    </w:rPr>
  </w:style>
  <w:style w:type="paragraph" w:styleId="Heading2">
    <w:name w:val="heading 2"/>
    <w:basedOn w:val="Normal"/>
    <w:next w:val="Normal"/>
    <w:link w:val="Heading2Char"/>
    <w:uiPriority w:val="9"/>
    <w:semiHidden/>
    <w:unhideWhenUsed/>
    <w:qFormat/>
    <w:pPr>
      <w:keepNext/>
      <w:keepLines/>
      <w:spacing w:before="40" w:after="0" w:line="240" w:lineRule="auto"/>
      <w:outlineLvl w:val="1"/>
    </w:pPr>
    <w:rPr>
      <w:b/>
      <w:bCs/>
      <w:color w:val="284546"/>
      <w:sz w:val="32"/>
      <w:szCs w:val="32"/>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b/>
      <w:bCs/>
      <w:color w:val="284546"/>
      <w:sz w:val="28"/>
      <w:szCs w:val="28"/>
    </w:rPr>
  </w:style>
  <w:style w:type="paragraph" w:styleId="Heading4">
    <w:name w:val="heading 4"/>
    <w:basedOn w:val="Normal"/>
    <w:next w:val="Normal"/>
    <w:link w:val="Heading4Char"/>
    <w:uiPriority w:val="9"/>
    <w:semiHidden/>
    <w:unhideWhenUsed/>
    <w:qFormat/>
    <w:pPr>
      <w:keepNext/>
      <w:keepLines/>
      <w:spacing w:before="40" w:after="0"/>
      <w:outlineLvl w:val="3"/>
    </w:pPr>
    <w:rPr>
      <w:b/>
      <w:bCs/>
      <w:color w:val="284546"/>
      <w:sz w:val="24"/>
      <w:szCs w:val="24"/>
    </w:rPr>
  </w:style>
  <w:style w:type="paragraph" w:styleId="Heading5">
    <w:name w:val="heading 5"/>
    <w:basedOn w:val="Normal"/>
    <w:next w:val="Normal"/>
    <w:link w:val="Heading5Char"/>
    <w:uiPriority w:val="9"/>
    <w:semiHidden/>
    <w:unhideWhenUsed/>
    <w:qFormat/>
    <w:pPr>
      <w:keepNext/>
      <w:keepLines/>
      <w:spacing w:before="40" w:after="0"/>
      <w:outlineLvl w:val="4"/>
    </w:pPr>
    <w:rPr>
      <w:b/>
      <w:bCs/>
      <w:smallCaps/>
      <w:color w:val="284546"/>
    </w:rPr>
  </w:style>
  <w:style w:type="paragraph" w:styleId="Heading6">
    <w:name w:val="heading 6"/>
    <w:basedOn w:val="Normal"/>
    <w:next w:val="Normal"/>
    <w:link w:val="Heading6Char"/>
    <w:uiPriority w:val="9"/>
    <w:semiHidden/>
    <w:unhideWhenUsed/>
    <w:qFormat/>
    <w:pPr>
      <w:keepNext/>
      <w:keepLines/>
      <w:spacing w:before="40" w:after="0"/>
      <w:outlineLvl w:val="5"/>
    </w:pPr>
    <w:rPr>
      <w:b/>
      <w:bCs/>
      <w:i/>
      <w:iCs/>
      <w:smallCaps/>
      <w:color w:val="1B2E2F"/>
    </w:rPr>
  </w:style>
  <w:style w:type="paragraph" w:styleId="Heading7">
    <w:name w:val="heading 7"/>
    <w:basedOn w:val="Normal"/>
    <w:next w:val="Normal"/>
    <w:link w:val="Heading7Ch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Heading8">
    <w:name w:val="heading 8"/>
    <w:basedOn w:val="Normal"/>
    <w:next w:val="Normal"/>
    <w:link w:val="Heading8Ch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Heading9">
    <w:name w:val="heading 9"/>
    <w:basedOn w:val="Normal"/>
    <w:next w:val="Normal"/>
    <w:link w:val="Heading9Ch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04" w:lineRule="auto"/>
    </w:pPr>
    <w:rPr>
      <w:b/>
      <w:bCs/>
      <w:smallCaps/>
      <w:color w:val="739A8A"/>
      <w:sz w:val="72"/>
      <w:szCs w:val="72"/>
    </w:rPr>
  </w:style>
  <w:style w:type="character" w:customStyle="1" w:styleId="Heading1Char">
    <w:name w:val="Heading 1 Char"/>
    <w:basedOn w:val="DefaultParagraphFont"/>
    <w:link w:val="Heading1"/>
    <w:uiPriority w:val="9"/>
    <w:rsid w:val="00AB39A2"/>
    <w:rPr>
      <w:rFonts w:asciiTheme="majorHAnsi" w:eastAsiaTheme="majorEastAsia" w:hAnsiTheme="majorHAnsi" w:cstheme="majorBidi"/>
      <w:color w:val="1B2E2E" w:themeColor="accent1" w:themeShade="80"/>
      <w:sz w:val="36"/>
      <w:szCs w:val="36"/>
    </w:rPr>
  </w:style>
  <w:style w:type="character" w:customStyle="1" w:styleId="Heading2Char">
    <w:name w:val="Heading 2 Char"/>
    <w:basedOn w:val="DefaultParagraphFont"/>
    <w:link w:val="Heading2"/>
    <w:uiPriority w:val="9"/>
    <w:rsid w:val="00AB39A2"/>
    <w:rPr>
      <w:rFonts w:asciiTheme="majorHAnsi" w:eastAsiaTheme="majorEastAsia" w:hAnsiTheme="majorHAnsi" w:cstheme="majorBidi"/>
      <w:color w:val="284546" w:themeColor="accent1" w:themeShade="BF"/>
      <w:sz w:val="32"/>
      <w:szCs w:val="32"/>
    </w:rPr>
  </w:style>
  <w:style w:type="character" w:customStyle="1" w:styleId="Heading3Char">
    <w:name w:val="Heading 3 Char"/>
    <w:basedOn w:val="DefaultParagraphFont"/>
    <w:link w:val="Heading3"/>
    <w:uiPriority w:val="9"/>
    <w:rsid w:val="00AB39A2"/>
    <w:rPr>
      <w:rFonts w:asciiTheme="majorHAnsi" w:eastAsiaTheme="majorEastAsia" w:hAnsiTheme="majorHAnsi" w:cstheme="majorBidi"/>
      <w:color w:val="284546" w:themeColor="accent1" w:themeShade="BF"/>
      <w:sz w:val="28"/>
      <w:szCs w:val="28"/>
    </w:rPr>
  </w:style>
  <w:style w:type="character" w:customStyle="1" w:styleId="Heading4Char">
    <w:name w:val="Heading 4 Char"/>
    <w:basedOn w:val="DefaultParagraphFont"/>
    <w:link w:val="Heading4"/>
    <w:uiPriority w:val="9"/>
    <w:rsid w:val="00AB39A2"/>
    <w:rPr>
      <w:rFonts w:asciiTheme="majorHAnsi" w:eastAsiaTheme="majorEastAsia" w:hAnsiTheme="majorHAnsi" w:cstheme="majorBidi"/>
      <w:color w:val="284546" w:themeColor="accent1" w:themeShade="BF"/>
      <w:sz w:val="24"/>
      <w:szCs w:val="24"/>
    </w:rPr>
  </w:style>
  <w:style w:type="character" w:customStyle="1" w:styleId="Heading5Char">
    <w:name w:val="Heading 5 Char"/>
    <w:basedOn w:val="DefaultParagraphFont"/>
    <w:link w:val="Heading5"/>
    <w:uiPriority w:val="9"/>
    <w:rsid w:val="00AB39A2"/>
    <w:rPr>
      <w:rFonts w:asciiTheme="majorHAnsi" w:eastAsiaTheme="majorEastAsia" w:hAnsiTheme="majorHAnsi" w:cstheme="majorBidi"/>
      <w:caps/>
      <w:color w:val="284546" w:themeColor="accent1" w:themeShade="BF"/>
    </w:rPr>
  </w:style>
  <w:style w:type="character" w:customStyle="1" w:styleId="Heading6Char">
    <w:name w:val="Heading 6 Char"/>
    <w:basedOn w:val="DefaultParagraphFont"/>
    <w:link w:val="Heading6"/>
    <w:uiPriority w:val="9"/>
    <w:rsid w:val="00AB39A2"/>
    <w:rPr>
      <w:rFonts w:asciiTheme="majorHAnsi" w:eastAsiaTheme="majorEastAsia" w:hAnsiTheme="majorHAnsi" w:cstheme="majorBidi"/>
      <w:i/>
      <w:iCs/>
      <w:caps/>
      <w:color w:val="1B2E2E" w:themeColor="accent1" w:themeShade="80"/>
    </w:rPr>
  </w:style>
  <w:style w:type="character" w:customStyle="1" w:styleId="Heading7Char">
    <w:name w:val="Heading 7 Char"/>
    <w:basedOn w:val="DefaultParagraphFont"/>
    <w:link w:val="Heading7"/>
    <w:uiPriority w:val="9"/>
    <w:rsid w:val="00AB39A2"/>
    <w:rPr>
      <w:rFonts w:asciiTheme="majorHAnsi" w:eastAsiaTheme="majorEastAsia" w:hAnsiTheme="majorHAnsi" w:cstheme="majorBidi"/>
      <w:b/>
      <w:bCs/>
      <w:color w:val="1B2E2E" w:themeColor="accent1" w:themeShade="80"/>
    </w:rPr>
  </w:style>
  <w:style w:type="character" w:customStyle="1" w:styleId="Heading8Char">
    <w:name w:val="Heading 8 Char"/>
    <w:basedOn w:val="DefaultParagraphFont"/>
    <w:link w:val="Heading8"/>
    <w:uiPriority w:val="9"/>
    <w:rsid w:val="00AB39A2"/>
    <w:rPr>
      <w:rFonts w:asciiTheme="majorHAnsi" w:eastAsiaTheme="majorEastAsia" w:hAnsiTheme="majorHAnsi" w:cstheme="majorBidi"/>
      <w:b/>
      <w:bCs/>
      <w:i/>
      <w:iCs/>
      <w:color w:val="1B2E2E" w:themeColor="accent1" w:themeShade="80"/>
    </w:rPr>
  </w:style>
  <w:style w:type="character" w:customStyle="1" w:styleId="Heading9Char">
    <w:name w:val="Heading 9 Char"/>
    <w:basedOn w:val="DefaultParagraphFont"/>
    <w:link w:val="Heading9"/>
    <w:uiPriority w:val="9"/>
    <w:semiHidden/>
    <w:rsid w:val="00AB39A2"/>
    <w:rPr>
      <w:rFonts w:asciiTheme="majorHAnsi" w:eastAsiaTheme="majorEastAsia" w:hAnsiTheme="majorHAnsi" w:cstheme="majorBidi"/>
      <w:i/>
      <w:iCs/>
      <w:color w:val="1B2E2E" w:themeColor="accent1" w:themeShade="80"/>
    </w:rPr>
  </w:style>
  <w:style w:type="paragraph" w:styleId="Caption">
    <w:name w:val="caption"/>
    <w:basedOn w:val="Normal"/>
    <w:next w:val="Normal"/>
    <w:link w:val="CaptionChar"/>
    <w:unhideWhenUsed/>
    <w:qFormat/>
    <w:rsid w:val="00AB39A2"/>
    <w:pPr>
      <w:spacing w:line="240" w:lineRule="auto"/>
    </w:pPr>
    <w:rPr>
      <w:b/>
      <w:bCs/>
      <w:smallCaps/>
      <w:color w:val="739A8A" w:themeColor="text2"/>
    </w:rPr>
  </w:style>
  <w:style w:type="character" w:customStyle="1" w:styleId="TitleChar">
    <w:name w:val="Title Char"/>
    <w:basedOn w:val="DefaultParagraphFont"/>
    <w:link w:val="Title"/>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itleChar">
    <w:name w:val="Subtitle Char"/>
    <w:basedOn w:val="DefaultParagraphFont"/>
    <w:link w:val="Subtitle"/>
    <w:uiPriority w:val="11"/>
    <w:rsid w:val="00AB39A2"/>
    <w:rPr>
      <w:rFonts w:asciiTheme="majorHAnsi" w:eastAsiaTheme="majorEastAsia" w:hAnsiTheme="majorHAnsi" w:cstheme="majorBidi"/>
      <w:color w:val="365D5E" w:themeColor="accent1"/>
      <w:sz w:val="28"/>
      <w:szCs w:val="28"/>
    </w:rPr>
  </w:style>
  <w:style w:type="character" w:styleId="Strong">
    <w:name w:val="Strong"/>
    <w:basedOn w:val="DefaultParagraphFont"/>
    <w:uiPriority w:val="22"/>
    <w:qFormat/>
    <w:rsid w:val="00AB39A2"/>
    <w:rPr>
      <w:b/>
      <w:bCs/>
    </w:rPr>
  </w:style>
  <w:style w:type="character" w:styleId="Emphasis">
    <w:name w:val="Emphasis"/>
    <w:basedOn w:val="DefaultParagraphFont"/>
    <w:uiPriority w:val="20"/>
    <w:qFormat/>
    <w:rsid w:val="00AB39A2"/>
    <w:rPr>
      <w:i/>
      <w:iCs/>
    </w:rPr>
  </w:style>
  <w:style w:type="paragraph" w:styleId="NoSpacing">
    <w:name w:val="No Spacing"/>
    <w:uiPriority w:val="1"/>
    <w:qFormat/>
    <w:rsid w:val="00AB39A2"/>
    <w:pPr>
      <w:spacing w:after="0" w:line="240" w:lineRule="auto"/>
    </w:pPr>
  </w:style>
  <w:style w:type="paragraph" w:styleId="Quote">
    <w:name w:val="Quote"/>
    <w:basedOn w:val="Normal"/>
    <w:next w:val="Normal"/>
    <w:link w:val="QuoteChar"/>
    <w:uiPriority w:val="29"/>
    <w:qFormat/>
    <w:rsid w:val="00AB39A2"/>
    <w:pPr>
      <w:spacing w:before="120" w:after="120"/>
      <w:ind w:left="720"/>
    </w:pPr>
    <w:rPr>
      <w:color w:val="739A8A" w:themeColor="text2"/>
      <w:sz w:val="24"/>
      <w:szCs w:val="24"/>
    </w:rPr>
  </w:style>
  <w:style w:type="character" w:customStyle="1" w:styleId="QuoteChar">
    <w:name w:val="Quote Char"/>
    <w:basedOn w:val="DefaultParagraphFont"/>
    <w:link w:val="Quote"/>
    <w:uiPriority w:val="29"/>
    <w:rsid w:val="00AB39A2"/>
    <w:rPr>
      <w:color w:val="739A8A" w:themeColor="text2"/>
      <w:sz w:val="24"/>
      <w:szCs w:val="24"/>
    </w:rPr>
  </w:style>
  <w:style w:type="paragraph" w:styleId="IntenseQuote">
    <w:name w:val="Intense Quote"/>
    <w:basedOn w:val="Normal"/>
    <w:next w:val="Normal"/>
    <w:link w:val="IntenseQuoteCh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IntenseQuoteChar">
    <w:name w:val="Intense Quote Char"/>
    <w:basedOn w:val="DefaultParagraphFont"/>
    <w:link w:val="IntenseQuote"/>
    <w:uiPriority w:val="30"/>
    <w:rsid w:val="00AB39A2"/>
    <w:rPr>
      <w:rFonts w:asciiTheme="majorHAnsi" w:eastAsiaTheme="majorEastAsia" w:hAnsiTheme="majorHAnsi" w:cstheme="majorBidi"/>
      <w:color w:val="739A8A" w:themeColor="text2"/>
      <w:spacing w:val="-6"/>
      <w:sz w:val="32"/>
      <w:szCs w:val="32"/>
    </w:rPr>
  </w:style>
  <w:style w:type="character" w:styleId="SubtleEmphasis">
    <w:name w:val="Subtle Emphasis"/>
    <w:basedOn w:val="DefaultParagraphFont"/>
    <w:uiPriority w:val="19"/>
    <w:qFormat/>
    <w:rsid w:val="00AB39A2"/>
    <w:rPr>
      <w:i/>
      <w:iCs/>
      <w:color w:val="A3BDB2" w:themeColor="text1" w:themeTint="A6"/>
    </w:rPr>
  </w:style>
  <w:style w:type="character" w:styleId="IntenseEmphasis">
    <w:name w:val="Intense Emphasis"/>
    <w:basedOn w:val="DefaultParagraphFont"/>
    <w:uiPriority w:val="21"/>
    <w:qFormat/>
    <w:rsid w:val="00AB39A2"/>
    <w:rPr>
      <w:b/>
      <w:bCs/>
      <w:i/>
      <w:iCs/>
    </w:rPr>
  </w:style>
  <w:style w:type="character" w:styleId="SubtleReference">
    <w:name w:val="Subtle Reference"/>
    <w:basedOn w:val="DefaultParagraphFont"/>
    <w:uiPriority w:val="31"/>
    <w:qFormat/>
    <w:rsid w:val="00AB39A2"/>
    <w:rPr>
      <w:smallCaps/>
      <w:color w:val="A3BDB2" w:themeColor="text1" w:themeTint="A6"/>
      <w:u w:val="none" w:color="B8CCC4" w:themeColor="text1" w:themeTint="80"/>
      <w:bdr w:val="none" w:sz="0" w:space="0" w:color="auto"/>
    </w:rPr>
  </w:style>
  <w:style w:type="character" w:styleId="IntenseReference">
    <w:name w:val="Intense Reference"/>
    <w:basedOn w:val="DefaultParagraphFont"/>
    <w:uiPriority w:val="32"/>
    <w:qFormat/>
    <w:rsid w:val="00AB39A2"/>
    <w:rPr>
      <w:b/>
      <w:bCs/>
      <w:smallCaps/>
      <w:color w:val="739A8A" w:themeColor="text2"/>
      <w:u w:val="single"/>
    </w:rPr>
  </w:style>
  <w:style w:type="character" w:styleId="BookTitle">
    <w:name w:val="Book Title"/>
    <w:basedOn w:val="DefaultParagraphFont"/>
    <w:uiPriority w:val="33"/>
    <w:qFormat/>
    <w:rsid w:val="00AB39A2"/>
    <w:rPr>
      <w:b/>
      <w:bCs/>
      <w:smallCaps/>
      <w:spacing w:val="10"/>
    </w:rPr>
  </w:style>
  <w:style w:type="paragraph" w:styleId="TOCHeading">
    <w:name w:val="TOC Heading"/>
    <w:basedOn w:val="Heading1"/>
    <w:next w:val="Normal"/>
    <w:uiPriority w:val="39"/>
    <w:unhideWhenUsed/>
    <w:qFormat/>
    <w:rsid w:val="00AB39A2"/>
    <w:pPr>
      <w:outlineLvl w:val="9"/>
    </w:pPr>
  </w:style>
  <w:style w:type="paragraph" w:styleId="Header">
    <w:name w:val="header"/>
    <w:basedOn w:val="Normal"/>
    <w:link w:val="HeaderChar"/>
    <w:uiPriority w:val="99"/>
    <w:unhideWhenUsed/>
    <w:rsid w:val="00171F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171F5E"/>
  </w:style>
  <w:style w:type="paragraph" w:styleId="Footer">
    <w:name w:val="footer"/>
    <w:basedOn w:val="Normal"/>
    <w:link w:val="FooterChar"/>
    <w:uiPriority w:val="99"/>
    <w:unhideWhenUsed/>
    <w:rsid w:val="00171F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171F5E"/>
  </w:style>
  <w:style w:type="paragraph" w:styleId="TOC1">
    <w:name w:val="toc 1"/>
    <w:basedOn w:val="Normal"/>
    <w:next w:val="Normal"/>
    <w:autoRedefine/>
    <w:uiPriority w:val="39"/>
    <w:unhideWhenUsed/>
    <w:rsid w:val="00C81877"/>
    <w:pPr>
      <w:spacing w:after="100"/>
    </w:pPr>
  </w:style>
  <w:style w:type="paragraph" w:styleId="TOC2">
    <w:name w:val="toc 2"/>
    <w:basedOn w:val="Normal"/>
    <w:next w:val="Normal"/>
    <w:autoRedefine/>
    <w:uiPriority w:val="39"/>
    <w:unhideWhenUsed/>
    <w:rsid w:val="00211972"/>
    <w:pPr>
      <w:tabs>
        <w:tab w:val="left" w:pos="960"/>
        <w:tab w:val="right" w:leader="dot" w:pos="8494"/>
      </w:tabs>
      <w:spacing w:after="100"/>
      <w:ind w:left="220"/>
    </w:pPr>
  </w:style>
  <w:style w:type="paragraph" w:styleId="TOC3">
    <w:name w:val="toc 3"/>
    <w:basedOn w:val="Normal"/>
    <w:next w:val="Normal"/>
    <w:autoRedefine/>
    <w:uiPriority w:val="39"/>
    <w:semiHidden/>
    <w:unhideWhenUsed/>
    <w:rsid w:val="00C81877"/>
    <w:pPr>
      <w:spacing w:after="100"/>
      <w:ind w:left="440"/>
    </w:pPr>
  </w:style>
  <w:style w:type="paragraph" w:styleId="FootnoteText">
    <w:name w:val="footnote text"/>
    <w:basedOn w:val="Normal"/>
    <w:link w:val="FootnoteTextChar"/>
    <w:uiPriority w:val="99"/>
    <w:semiHidden/>
    <w:unhideWhenUsed/>
    <w:rsid w:val="00C8187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81877"/>
    <w:rPr>
      <w:sz w:val="20"/>
      <w:szCs w:val="20"/>
    </w:rPr>
  </w:style>
  <w:style w:type="paragraph" w:styleId="CommentText">
    <w:name w:val="annotation text"/>
    <w:basedOn w:val="Normal"/>
    <w:link w:val="CommentTextCh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CommentTextChar">
    <w:name w:val="Comment Text Char"/>
    <w:basedOn w:val="DefaultParagraphFont"/>
    <w:link w:val="CommentText"/>
    <w:uiPriority w:val="99"/>
    <w:semiHidden/>
    <w:rsid w:val="00C81877"/>
    <w:rPr>
      <w:rFonts w:ascii="Space Grotesk" w:hAnsi="Space Grotesk" w:cs="Times New Roman (Cuerpo en alfa"/>
      <w:sz w:val="20"/>
      <w:szCs w:val="20"/>
      <w:lang w:val="en-US"/>
    </w:rPr>
  </w:style>
  <w:style w:type="character" w:styleId="FootnoteReference">
    <w:name w:val="footnote reference"/>
    <w:uiPriority w:val="99"/>
    <w:semiHidden/>
    <w:unhideWhenUsed/>
    <w:rsid w:val="00C81877"/>
    <w:rPr>
      <w:vertAlign w:val="superscript"/>
    </w:rPr>
  </w:style>
  <w:style w:type="character" w:styleId="CommentReference">
    <w:name w:val="annotation reference"/>
    <w:basedOn w:val="DefaultParagraphFont"/>
    <w:uiPriority w:val="99"/>
    <w:semiHidden/>
    <w:unhideWhenUsed/>
    <w:rsid w:val="00C81877"/>
    <w:rPr>
      <w:sz w:val="16"/>
      <w:szCs w:val="16"/>
    </w:rPr>
  </w:style>
  <w:style w:type="character" w:styleId="Hyperlink">
    <w:name w:val="Hyperlink"/>
    <w:basedOn w:val="DefaultParagraphFont"/>
    <w:uiPriority w:val="99"/>
    <w:unhideWhenUsed/>
    <w:rsid w:val="00C81877"/>
    <w:rPr>
      <w:color w:val="365D5E" w:themeColor="hyperlink"/>
      <w:u w:val="single"/>
    </w:rPr>
  </w:style>
  <w:style w:type="character" w:styleId="UnresolvedMention">
    <w:name w:val="Unresolved Mention"/>
    <w:basedOn w:val="DefaultParagraphFont"/>
    <w:uiPriority w:val="99"/>
    <w:semiHidden/>
    <w:unhideWhenUsed/>
    <w:rsid w:val="00C81877"/>
    <w:rPr>
      <w:color w:val="605E5C"/>
      <w:shd w:val="clear" w:color="auto" w:fill="E1DFDD"/>
    </w:rPr>
  </w:style>
  <w:style w:type="table" w:styleId="TableGrid">
    <w:name w:val="Table Grid"/>
    <w:basedOn w:val="Table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CaptionChar">
    <w:name w:val="Caption Char"/>
    <w:basedOn w:val="DefaultParagraphFont"/>
    <w:link w:val="Caption"/>
    <w:locked/>
    <w:rsid w:val="00CE62B2"/>
    <w:rPr>
      <w:b/>
      <w:bCs/>
      <w:smallCaps/>
      <w:color w:val="739A8A" w:themeColor="text2"/>
    </w:rPr>
  </w:style>
  <w:style w:type="paragraph" w:styleId="Subtitle">
    <w:name w:val="Subtitle"/>
    <w:basedOn w:val="Normal"/>
    <w:next w:val="Normal"/>
    <w:link w:val="SubtitleChar"/>
    <w:uiPriority w:val="11"/>
    <w:qFormat/>
    <w:pPr>
      <w:spacing w:after="240" w:line="240" w:lineRule="auto"/>
    </w:pPr>
    <w:rPr>
      <w:b/>
      <w:bCs/>
      <w:color w:val="365D5E"/>
      <w:sz w:val="28"/>
      <w:szCs w:val="28"/>
    </w:rPr>
  </w:style>
  <w:style w:type="table" w:customStyle="1" w:styleId="a">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e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Props1.xml><?xml version="1.0" encoding="utf-8"?>
<ds:datastoreItem xmlns:ds="http://schemas.openxmlformats.org/officeDocument/2006/customXml" ds:itemID="{13541E44-53E1-4E1E-8B81-150EFAC17A9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1430</Words>
  <Characters>7866</Characters>
  <Application>Microsoft Office Word</Application>
  <DocSecurity>0</DocSecurity>
  <Lines>65</Lines>
  <Paragraphs>18</Paragraphs>
  <ScaleCrop>false</ScaleCrop>
  <Company/>
  <LinksUpToDate>false</LinksUpToDate>
  <CharactersWithSpaces>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Mateos – CARTIF</dc:creator>
  <dc:description/>
  <cp:lastModifiedBy>ALEJANDRO FLORES BLANCO</cp:lastModifiedBy>
  <cp:revision>4</cp:revision>
  <cp:lastPrinted>2026-10-13T11:38:00Z</cp:lastPrinted>
  <dcterms:created xsi:type="dcterms:W3CDTF">2026-07-03T11:29:00Z</dcterms:created>
  <dcterms:modified xsi:type="dcterms:W3CDTF">2026-10-13T11:38:00Z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