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D87FC" w14:textId="77777777" w:rsidR="00ED73C6" w:rsidRDefault="00ED73C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1F06B188" w14:textId="77777777" w:rsidR="00ED73C6" w:rsidRDefault="001C3C90"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7490E72F" wp14:editId="7601E0FE">
            <wp:simplePos x="0" y="0"/>
            <wp:positionH relativeFrom="column">
              <wp:posOffset>590550</wp:posOffset>
            </wp:positionH>
            <wp:positionV relativeFrom="paragraph">
              <wp:posOffset>0</wp:posOffset>
            </wp:positionV>
            <wp:extent cx="3373120" cy="2032000"/>
            <wp:effectExtent l="0" t="0" r="0" b="0"/>
            <wp:wrapSquare wrapText="bothSides" distT="0" distB="0" distL="114300" distR="114300"/>
            <wp:docPr id="1001" name="image5.jpg" descr="A logo with green leaves  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jpg" descr="A logo with green leaves  AI-generated content may be incorrect.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73120" cy="203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ED55FDB" w14:textId="77777777" w:rsidR="00ED73C6" w:rsidRDefault="00ED73C6"/>
    <w:p w14:paraId="3ACB5044" w14:textId="77777777" w:rsidR="00ED73C6" w:rsidRDefault="00ED73C6"/>
    <w:p w14:paraId="24D31646" w14:textId="77777777" w:rsidR="00ED73C6" w:rsidRDefault="001C3C90"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41217845" wp14:editId="3C0FBC9E">
            <wp:simplePos x="0" y="0"/>
            <wp:positionH relativeFrom="column">
              <wp:posOffset>2634615</wp:posOffset>
            </wp:positionH>
            <wp:positionV relativeFrom="paragraph">
              <wp:posOffset>130810</wp:posOffset>
            </wp:positionV>
            <wp:extent cx="2266950" cy="1295400"/>
            <wp:effectExtent l="0" t="0" r="0" b="0"/>
            <wp:wrapNone/>
            <wp:docPr id="1002" name="image1.png" descr="A black background with white text and brown lines  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A black background with white text and brown lines  AI-generated content may be incorrect.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66950" cy="129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10A3F8A" w14:textId="77777777" w:rsidR="00ED73C6" w:rsidRDefault="00ED73C6"/>
    <w:p w14:paraId="11346F3F" w14:textId="77777777" w:rsidR="00ED73C6" w:rsidRDefault="00ED73C6"/>
    <w:p w14:paraId="239C7CC2" w14:textId="77777777" w:rsidR="00ED73C6" w:rsidRDefault="00ED73C6"/>
    <w:p w14:paraId="456AF325" w14:textId="77777777" w:rsidR="00ED73C6" w:rsidRDefault="00ED73C6"/>
    <w:p w14:paraId="32FEB606" w14:textId="77777777" w:rsidR="00ED73C6" w:rsidRDefault="00ED73C6">
      <w:pPr>
        <w:jc w:val="right"/>
      </w:pPr>
    </w:p>
    <w:p w14:paraId="7099C703" w14:textId="77777777" w:rsidR="00ED73C6" w:rsidRDefault="00ED73C6"/>
    <w:p w14:paraId="5674BF31" w14:textId="77777777" w:rsidR="00ED73C6" w:rsidRDefault="00ED73C6"/>
    <w:p w14:paraId="57D79371" w14:textId="77777777" w:rsidR="00ED73C6" w:rsidRDefault="00ED73C6">
      <w:pPr>
        <w:rPr>
          <w:rFonts w:ascii="Liberation Sans Regular" w:eastAsia="Liberation Sans Regular" w:hAnsi="Liberation Sans Regular" w:cs="Liberation Sans Regular"/>
          <w:color w:val="203441"/>
          <w:sz w:val="44"/>
          <w:szCs w:val="44"/>
        </w:rPr>
      </w:pPr>
    </w:p>
    <w:p w14:paraId="04402B53" w14:textId="77777777" w:rsidR="00ED73C6" w:rsidRDefault="001C3C90">
      <w:pPr>
        <w:ind w:left="993"/>
        <w:rPr>
          <w:rFonts w:ascii="Liberation Sans Regular" w:eastAsia="Liberation Sans Regular" w:hAnsi="Liberation Sans Regular" w:cs="Liberation Sans Regular"/>
          <w:color w:val="203441"/>
          <w:sz w:val="60"/>
          <w:szCs w:val="60"/>
        </w:rPr>
      </w:pPr>
      <w:r>
        <w:rPr>
          <w:rFonts w:ascii="Liberation Sans Regular" w:eastAsia="Liberation Sans Regular" w:hAnsi="Liberation Sans Regular" w:cs="Liberation Sans Regular"/>
          <w:color w:val="203441"/>
          <w:sz w:val="60"/>
          <w:szCs w:val="60"/>
        </w:rPr>
        <w:t>Ficha técnica del modelo</w:t>
      </w:r>
    </w:p>
    <w:p w14:paraId="2CCAB764" w14:textId="77777777" w:rsidR="00ED73C6" w:rsidRDefault="001C3C90">
      <w:pPr>
        <w:ind w:left="993"/>
        <w:rPr>
          <w:rFonts w:ascii="Liberation Sans Regular" w:eastAsia="Liberation Sans Regular" w:hAnsi="Liberation Sans Regular" w:cs="Liberation Sans Regular"/>
          <w:color w:val="203441"/>
          <w:sz w:val="60"/>
          <w:szCs w:val="60"/>
        </w:rPr>
      </w:pPr>
      <w:r>
        <w:rPr>
          <w:rFonts w:ascii="Liberation Sans Regular" w:eastAsia="Liberation Sans Regular" w:hAnsi="Liberation Sans Regular" w:cs="Liberation Sans Regular"/>
          <w:color w:val="203441"/>
          <w:sz w:val="60"/>
          <w:szCs w:val="60"/>
        </w:rPr>
        <w:t>a21 · cereals-price-spatial</w:t>
      </w:r>
    </w:p>
    <w:p w14:paraId="77EA3F8E" w14:textId="77777777" w:rsidR="00ED73C6" w:rsidRDefault="001C3C90">
      <w:pPr>
        <w:shd w:val="clear" w:color="auto" w:fill="E3EFDD"/>
        <w:ind w:left="993" w:right="2267" w:firstLine="140"/>
        <w:rPr>
          <w:rFonts w:ascii="Liberation Sans Regular" w:eastAsia="Liberation Sans Regular" w:hAnsi="Liberation Sans Regular" w:cs="Liberation Sans Regular"/>
          <w:color w:val="203441"/>
          <w:sz w:val="44"/>
          <w:szCs w:val="44"/>
        </w:rPr>
      </w:pPr>
      <w:r>
        <w:rPr>
          <w:rFonts w:ascii="Liberation Sans Regular" w:eastAsia="Liberation Sans Regular" w:hAnsi="Liberation Sans Regular" w:cs="Liberation Sans Regular"/>
          <w:color w:val="203441"/>
          <w:sz w:val="44"/>
          <w:szCs w:val="44"/>
        </w:rPr>
        <w:t>Especificación técnica para integración en la plataforma DatagIA</w:t>
      </w:r>
    </w:p>
    <w:p w14:paraId="70952EAF" w14:textId="77777777" w:rsidR="00ED73C6" w:rsidRDefault="001C3C90">
      <w:pPr>
        <w:ind w:left="993"/>
        <w:rPr>
          <w:rFonts w:ascii="Liberation Sans Regular" w:eastAsia="Liberation Sans Regular" w:hAnsi="Liberation Sans Regular" w:cs="Liberation Sans Regular"/>
          <w:color w:val="203441"/>
          <w:sz w:val="32"/>
          <w:szCs w:val="32"/>
        </w:rPr>
      </w:pPr>
      <w:r>
        <w:rPr>
          <w:rFonts w:ascii="Liberation Sans Regular" w:eastAsia="Liberation Sans Regular" w:hAnsi="Liberation Sans Regular" w:cs="Liberation Sans Regular"/>
          <w:color w:val="203441"/>
          <w:sz w:val="32"/>
          <w:szCs w:val="32"/>
        </w:rPr>
        <w:t>Octubre 2026</w:t>
      </w:r>
    </w:p>
    <w:p w14:paraId="262CD268" w14:textId="77777777" w:rsidR="00ED73C6" w:rsidRDefault="001C3C90">
      <w:r>
        <w:rPr>
          <w:noProof/>
        </w:rPr>
        <w:drawing>
          <wp:anchor distT="0" distB="0" distL="0" distR="0" simplePos="0" relativeHeight="251660288" behindDoc="1" locked="0" layoutInCell="1" hidden="0" allowOverlap="1" wp14:anchorId="42C3D32A" wp14:editId="6D88BCF5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5397500" cy="5280025"/>
            <wp:effectExtent l="0" t="0" r="0" b="0"/>
            <wp:wrapNone/>
            <wp:docPr id="100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7500" cy="52800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br w:type="page"/>
      </w:r>
    </w:p>
    <w:p w14:paraId="73C6066A" w14:textId="77777777" w:rsidR="00ED73C6" w:rsidRPr="00D12B9E" w:rsidRDefault="001C3C90" w:rsidP="00D12B9E">
      <w:pPr>
        <w:pStyle w:val="Heading1"/>
        <w:jc w:val="left"/>
      </w:pPr>
      <w:bookmarkStart w:id="0" w:name="_heading=h.33jjin156j5n" w:colFirst="0" w:colLast="0"/>
      <w:bookmarkStart w:id="1" w:name="_Toc233977723"/>
      <w:bookmarkEnd w:id="0"/>
      <w:r>
        <w:lastRenderedPageBreak/>
        <w:t>1. Información general del modelo</w:t>
      </w:r>
      <w:bookmarkEnd w:id="1"/>
    </w:p>
    <w:tbl>
      <w:tblPr>
        <w:tblStyle w:val="a"/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00"/>
        <w:gridCol w:w="6560"/>
      </w:tblGrid>
      <w:tr w:rsidR="00ED73C6" w14:paraId="1AB946D2" w14:textId="77777777">
        <w:tc>
          <w:tcPr>
            <w:tcW w:w="2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0F73D" w14:textId="77777777" w:rsidR="00ED73C6" w:rsidRDefault="001C3C90">
            <w:r>
              <w:rPr>
                <w:b/>
                <w:bCs/>
                <w:color w:val="333333"/>
                <w:sz w:val="20"/>
                <w:szCs w:val="20"/>
              </w:rPr>
              <w:t>Nombre del modelo (model_key)</w:t>
            </w:r>
          </w:p>
        </w:tc>
        <w:tc>
          <w:tcPr>
            <w:tcW w:w="65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993D6" w14:textId="77777777" w:rsidR="00ED73C6" w:rsidRDefault="001C3C90">
            <w:r>
              <w:t>ml21-cereals-price-spatial</w:t>
            </w:r>
          </w:p>
        </w:tc>
      </w:tr>
      <w:tr w:rsidR="00ED73C6" w14:paraId="2B5210AD" w14:textId="77777777">
        <w:tc>
          <w:tcPr>
            <w:tcW w:w="2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EA41B" w14:textId="77777777" w:rsidR="00ED73C6" w:rsidRDefault="001C3C90">
            <w:r>
              <w:rPr>
                <w:b/>
                <w:bCs/>
                <w:color w:val="333333"/>
                <w:sz w:val="20"/>
                <w:szCs w:val="20"/>
              </w:rPr>
              <w:t>Versión</w:t>
            </w:r>
          </w:p>
        </w:tc>
        <w:tc>
          <w:tcPr>
            <w:tcW w:w="65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A7408" w14:textId="77777777" w:rsidR="00ED73C6" w:rsidRDefault="001C3C90">
            <w:r>
              <w:t>1.0</w:t>
            </w:r>
          </w:p>
        </w:tc>
      </w:tr>
      <w:tr w:rsidR="00ED73C6" w14:paraId="02B4508D" w14:textId="77777777">
        <w:tc>
          <w:tcPr>
            <w:tcW w:w="2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6986A" w14:textId="77777777" w:rsidR="00ED73C6" w:rsidRDefault="001C3C90">
            <w:r>
              <w:rPr>
                <w:b/>
                <w:bCs/>
                <w:color w:val="333333"/>
                <w:sz w:val="20"/>
                <w:szCs w:val="20"/>
              </w:rPr>
              <w:t>Descripción</w:t>
            </w:r>
          </w:p>
        </w:tc>
        <w:tc>
          <w:tcPr>
            <w:tcW w:w="65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1CCA3" w14:textId="77777777" w:rsidR="00ED73C6" w:rsidRDefault="001C3C90">
            <w:r>
              <w:t>Sistema de predicción de precios cerealísticos a nivel provincial español que combina regresión de retorno porcentual y clasificación direccional calibrada en una arquitectura de ensambles de árboles multi-horizonte (H1=30d, H2=60d, H3=90d). Integra una capa espacial y logística con variables de distancia a puertos, presión de combustible y análisis de vecindad provincial para identificar oportunidades de arbitraje geográfico.</w:t>
            </w:r>
          </w:p>
        </w:tc>
      </w:tr>
      <w:tr w:rsidR="00ED73C6" w14:paraId="6EFECFCA" w14:textId="77777777">
        <w:tc>
          <w:tcPr>
            <w:tcW w:w="2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2E1B3" w14:textId="77777777" w:rsidR="00ED73C6" w:rsidRDefault="001C3C90">
            <w:r>
              <w:rPr>
                <w:b/>
                <w:bCs/>
                <w:color w:val="333333"/>
                <w:sz w:val="20"/>
                <w:szCs w:val="20"/>
              </w:rPr>
              <w:t>Tipo de tarea (task_type)</w:t>
            </w:r>
          </w:p>
        </w:tc>
        <w:tc>
          <w:tcPr>
            <w:tcW w:w="65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97DDF" w14:textId="77777777" w:rsidR="00ED73C6" w:rsidRDefault="001C3C90">
            <w:r>
              <w:t>regresión + clasificación (multi-horizonte)</w:t>
            </w:r>
          </w:p>
        </w:tc>
      </w:tr>
      <w:tr w:rsidR="00ED73C6" w:rsidRPr="00A90EBB" w14:paraId="51B3BC95" w14:textId="77777777">
        <w:tc>
          <w:tcPr>
            <w:tcW w:w="2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67B48" w14:textId="77777777" w:rsidR="00ED73C6" w:rsidRDefault="001C3C90">
            <w:r>
              <w:rPr>
                <w:b/>
                <w:bCs/>
                <w:color w:val="333333"/>
                <w:sz w:val="20"/>
                <w:szCs w:val="20"/>
              </w:rPr>
              <w:t>Framework</w:t>
            </w:r>
          </w:p>
        </w:tc>
        <w:tc>
          <w:tcPr>
            <w:tcW w:w="65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45F96" w14:textId="77777777" w:rsidR="00ED73C6" w:rsidRPr="00A90EBB" w:rsidRDefault="001C3C90">
            <w:pPr>
              <w:rPr>
                <w:lang w:val="en-US"/>
              </w:rPr>
            </w:pPr>
            <w:r w:rsidRPr="00A90EBB">
              <w:rPr>
                <w:lang w:val="en-US"/>
              </w:rPr>
              <w:t>scikit-learn (ExtraTreesRegressor, LogisticRegression), XGBoost (XGBRegressor)</w:t>
            </w:r>
          </w:p>
        </w:tc>
      </w:tr>
      <w:tr w:rsidR="00ED73C6" w14:paraId="4C8DFFDF" w14:textId="77777777">
        <w:tc>
          <w:tcPr>
            <w:tcW w:w="2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677B8" w14:textId="77777777" w:rsidR="00ED73C6" w:rsidRDefault="001C3C90">
            <w:r>
              <w:rPr>
                <w:b/>
                <w:bCs/>
                <w:color w:val="333333"/>
                <w:sz w:val="20"/>
                <w:szCs w:val="20"/>
              </w:rPr>
              <w:t>Fichero del artefacto</w:t>
            </w:r>
          </w:p>
        </w:tc>
        <w:tc>
          <w:tcPr>
            <w:tcW w:w="65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BB4A5" w14:textId="77777777" w:rsidR="00ED73C6" w:rsidRDefault="001C3C90">
            <w:r>
              <w:t>6 modelos .joblib (datagia_best_h{1,2,3}_{reg,clf}.joblib) + model_metadata.json</w:t>
            </w:r>
          </w:p>
        </w:tc>
      </w:tr>
      <w:tr w:rsidR="00ED73C6" w14:paraId="3C91287B" w14:textId="77777777">
        <w:tc>
          <w:tcPr>
            <w:tcW w:w="2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DF75B" w14:textId="77777777" w:rsidR="00ED73C6" w:rsidRDefault="001C3C90">
            <w:r>
              <w:rPr>
                <w:b/>
                <w:bCs/>
                <w:color w:val="333333"/>
                <w:sz w:val="20"/>
                <w:szCs w:val="20"/>
              </w:rPr>
              <w:t>Objetivo del modelo</w:t>
            </w:r>
          </w:p>
        </w:tc>
        <w:tc>
          <w:tcPr>
            <w:tcW w:w="65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76D1A" w14:textId="77777777" w:rsidR="00ED73C6" w:rsidRDefault="001C3C90">
            <w:r>
              <w:t>Proporcionar una señal mensual de dirección (compra/venta/espera) y magnitud del retorno porcentual del precio de trigo, cebada y maíz a nivel provincial en España, a horizontes de 30, 60 y 90 días, integrando fundamentales macroeconómicos, variables climáticas y una capa de análisis espacial-logístico que capture la fricción de costes de transporte y la eficiencia en la transmisión de precios entre mercados regionales.</w:t>
            </w:r>
          </w:p>
        </w:tc>
      </w:tr>
      <w:tr w:rsidR="00ED73C6" w14:paraId="09F81BAA" w14:textId="77777777">
        <w:tc>
          <w:tcPr>
            <w:tcW w:w="2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ACCB4" w14:textId="77777777" w:rsidR="00ED73C6" w:rsidRDefault="001C3C90">
            <w:r>
              <w:rPr>
                <w:b/>
                <w:bCs/>
                <w:color w:val="333333"/>
                <w:sz w:val="20"/>
                <w:szCs w:val="20"/>
              </w:rPr>
              <w:t>Caso de uso principal</w:t>
            </w:r>
          </w:p>
        </w:tc>
        <w:tc>
          <w:tcPr>
            <w:tcW w:w="65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BDCF3" w14:textId="77777777" w:rsidR="00ED73C6" w:rsidRDefault="001C3C90">
            <w:r>
              <w:t>Se utiliza como herramienta de soporte a la decisión en mesas de compras cerealistas: ante la necesidad de planificar inventarios o negociar suministros, el operador selecciona una provincia, cereal y mes de interés, y el sistema devuelve una recomendación táctica (COMPRAR/ESPERAR/VENDER) con nivel de confianza por horizonte temporal, además de rankings provinciales de arbitraje en modo batch para comparar oportunidades geográficas.</w:t>
            </w:r>
          </w:p>
        </w:tc>
      </w:tr>
    </w:tbl>
    <w:p w14:paraId="0E4A03E1" w14:textId="164C9CA4" w:rsidR="00ED73C6" w:rsidRDefault="00D12B9E" w:rsidP="00D12B9E">
      <w:pPr>
        <w:pStyle w:val="Caption"/>
        <w:jc w:val="center"/>
      </w:pPr>
      <w:bookmarkStart w:id="2" w:name="_Toc233977640"/>
      <w:r>
        <w:t xml:space="preserve">Tabla </w:t>
      </w:r>
      <w:fldSimple w:instr=" SEQ Tabla \* ARABIC ">
        <w:r>
          <w:rPr>
            <w:noProof/>
          </w:rPr>
          <w:t>2</w:t>
        </w:r>
      </w:fldSimple>
      <w:r>
        <w:t xml:space="preserve"> Información general del modelo</w:t>
      </w:r>
      <w:bookmarkEnd w:id="2"/>
    </w:p>
    <w:p w14:paraId="48838E47" w14:textId="77777777" w:rsidR="00ED73C6" w:rsidRPr="00D12B9E" w:rsidRDefault="001C3C90" w:rsidP="00D12B9E">
      <w:pPr>
        <w:pStyle w:val="Heading1"/>
        <w:jc w:val="left"/>
      </w:pPr>
      <w:bookmarkStart w:id="3" w:name="_Toc233977724"/>
      <w:r>
        <w:lastRenderedPageBreak/>
        <w:t>2. Campos de entrada (inputs)</w:t>
      </w:r>
      <w:bookmarkEnd w:id="3"/>
    </w:p>
    <w:tbl>
      <w:tblPr>
        <w:tblStyle w:val="a0"/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67"/>
        <w:gridCol w:w="1384"/>
        <w:gridCol w:w="3055"/>
        <w:gridCol w:w="1307"/>
        <w:gridCol w:w="1447"/>
      </w:tblGrid>
      <w:tr w:rsidR="00ED73C6" w14:paraId="71F932B9" w14:textId="77777777">
        <w:trPr>
          <w:tblHeader/>
        </w:trPr>
        <w:tc>
          <w:tcPr>
            <w:tcW w:w="216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614D4" w14:textId="77777777" w:rsidR="00ED73C6" w:rsidRDefault="001C3C90">
            <w:r>
              <w:rPr>
                <w:b/>
                <w:bCs/>
                <w:color w:val="1F4E8F"/>
                <w:sz w:val="20"/>
                <w:szCs w:val="20"/>
              </w:rPr>
              <w:t>Nombre del campo</w:t>
            </w:r>
          </w:p>
        </w:tc>
        <w:tc>
          <w:tcPr>
            <w:tcW w:w="1384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9FD74" w14:textId="77777777" w:rsidR="00ED73C6" w:rsidRDefault="001C3C90">
            <w:r>
              <w:rPr>
                <w:b/>
                <w:bCs/>
                <w:color w:val="1F4E8F"/>
                <w:sz w:val="20"/>
                <w:szCs w:val="20"/>
              </w:rPr>
              <w:t>Tipo</w:t>
            </w:r>
          </w:p>
        </w:tc>
        <w:tc>
          <w:tcPr>
            <w:tcW w:w="3055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D2F77" w14:textId="77777777" w:rsidR="00ED73C6" w:rsidRDefault="001C3C90">
            <w:r>
              <w:rPr>
                <w:b/>
                <w:bCs/>
                <w:color w:val="1F4E8F"/>
                <w:sz w:val="20"/>
                <w:szCs w:val="20"/>
              </w:rPr>
              <w:t>Descripción</w:t>
            </w:r>
          </w:p>
        </w:tc>
        <w:tc>
          <w:tcPr>
            <w:tcW w:w="130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2F0D2" w14:textId="77777777" w:rsidR="00ED73C6" w:rsidRDefault="001C3C90">
            <w:r>
              <w:rPr>
                <w:b/>
                <w:bCs/>
                <w:color w:val="1F4E8F"/>
                <w:sz w:val="20"/>
                <w:szCs w:val="20"/>
              </w:rPr>
              <w:t>Obligatorio</w:t>
            </w:r>
          </w:p>
        </w:tc>
        <w:tc>
          <w:tcPr>
            <w:tcW w:w="144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DAD95" w14:textId="77777777" w:rsidR="00ED73C6" w:rsidRDefault="001C3C90">
            <w:r>
              <w:rPr>
                <w:b/>
                <w:bCs/>
                <w:color w:val="1F4E8F"/>
                <w:sz w:val="20"/>
                <w:szCs w:val="20"/>
              </w:rPr>
              <w:t>Valor por defecto</w:t>
            </w:r>
          </w:p>
        </w:tc>
      </w:tr>
      <w:tr w:rsidR="00ED73C6" w14:paraId="5943B210" w14:textId="77777777">
        <w:tc>
          <w:tcPr>
            <w:tcW w:w="216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456BA" w14:textId="77777777" w:rsidR="00ED73C6" w:rsidRDefault="001C3C90">
            <w:r>
              <w:t>provincia</w:t>
            </w:r>
          </w:p>
        </w:tc>
        <w:tc>
          <w:tcPr>
            <w:tcW w:w="1384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FE475" w14:textId="77777777" w:rsidR="00ED73C6" w:rsidRDefault="001C3C90">
            <w:r>
              <w:t>str</w:t>
            </w:r>
          </w:p>
        </w:tc>
        <w:tc>
          <w:tcPr>
            <w:tcW w:w="3055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C0988" w14:textId="77777777" w:rsidR="00ED73C6" w:rsidRDefault="001C3C90">
            <w:r>
              <w:t>Provincia española productora (Burgos, Zamora, Córdoba, etc.). Se codifica como one-hot.</w:t>
            </w:r>
          </w:p>
        </w:tc>
        <w:tc>
          <w:tcPr>
            <w:tcW w:w="130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6ACFB" w14:textId="77777777" w:rsidR="00ED73C6" w:rsidRDefault="001C3C90">
            <w:r>
              <w:t>Sí</w:t>
            </w:r>
          </w:p>
        </w:tc>
        <w:tc>
          <w:tcPr>
            <w:tcW w:w="144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6D559" w14:textId="77777777" w:rsidR="00ED73C6" w:rsidRDefault="001C3C90">
            <w:r>
              <w:t>-</w:t>
            </w:r>
          </w:p>
        </w:tc>
      </w:tr>
      <w:tr w:rsidR="00ED73C6" w14:paraId="570A8EAA" w14:textId="77777777">
        <w:tc>
          <w:tcPr>
            <w:tcW w:w="216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E15DE" w14:textId="77777777" w:rsidR="00ED73C6" w:rsidRDefault="001C3C90">
            <w:r>
              <w:t>cereal_predominante</w:t>
            </w:r>
          </w:p>
        </w:tc>
        <w:tc>
          <w:tcPr>
            <w:tcW w:w="1384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9D837" w14:textId="77777777" w:rsidR="00ED73C6" w:rsidRDefault="001C3C90">
            <w:r>
              <w:t>str</w:t>
            </w:r>
          </w:p>
        </w:tc>
        <w:tc>
          <w:tcPr>
            <w:tcW w:w="3055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88568" w14:textId="77777777" w:rsidR="00ED73C6" w:rsidRDefault="001C3C90">
            <w:r>
              <w:t>Tipo de cereal predominante: trigo, cebada o maíz. Se codifica como one-hot.</w:t>
            </w:r>
          </w:p>
        </w:tc>
        <w:tc>
          <w:tcPr>
            <w:tcW w:w="130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2AEEF" w14:textId="77777777" w:rsidR="00ED73C6" w:rsidRDefault="001C3C90">
            <w:r>
              <w:t>Sí</w:t>
            </w:r>
          </w:p>
        </w:tc>
        <w:tc>
          <w:tcPr>
            <w:tcW w:w="144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E03F4" w14:textId="77777777" w:rsidR="00ED73C6" w:rsidRDefault="001C3C90">
            <w:r>
              <w:t>-</w:t>
            </w:r>
          </w:p>
        </w:tc>
      </w:tr>
      <w:tr w:rsidR="00ED73C6" w14:paraId="1C3B9864" w14:textId="77777777">
        <w:tc>
          <w:tcPr>
            <w:tcW w:w="216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00698" w14:textId="77777777" w:rsidR="00ED73C6" w:rsidRDefault="001C3C90">
            <w:r>
              <w:t>date</w:t>
            </w:r>
          </w:p>
        </w:tc>
        <w:tc>
          <w:tcPr>
            <w:tcW w:w="1384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9D234" w14:textId="77777777" w:rsidR="00ED73C6" w:rsidRDefault="001C3C90">
            <w:r>
              <w:t>str (YYYY-MM)</w:t>
            </w:r>
          </w:p>
        </w:tc>
        <w:tc>
          <w:tcPr>
            <w:tcW w:w="3055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1FEB0" w14:textId="77777777" w:rsidR="00ED73C6" w:rsidRDefault="001C3C90">
            <w:r>
              <w:t>Mes de predicción. Determina fase fenológica, lags temporales y ventana de features.</w:t>
            </w:r>
          </w:p>
        </w:tc>
        <w:tc>
          <w:tcPr>
            <w:tcW w:w="130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4920E" w14:textId="77777777" w:rsidR="00ED73C6" w:rsidRDefault="001C3C90">
            <w:r>
              <w:t>Sí</w:t>
            </w:r>
          </w:p>
        </w:tc>
        <w:tc>
          <w:tcPr>
            <w:tcW w:w="144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4277C" w14:textId="77777777" w:rsidR="00ED73C6" w:rsidRDefault="001C3C90">
            <w:r>
              <w:t>-</w:t>
            </w:r>
          </w:p>
        </w:tc>
      </w:tr>
      <w:tr w:rsidR="00ED73C6" w14:paraId="13FD7C54" w14:textId="77777777">
        <w:tc>
          <w:tcPr>
            <w:tcW w:w="216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1EDB9" w14:textId="77777777" w:rsidR="00ED73C6" w:rsidRDefault="001C3C90">
            <w:r>
              <w:t>corn_intl_eur_*</w:t>
            </w:r>
          </w:p>
        </w:tc>
        <w:tc>
          <w:tcPr>
            <w:tcW w:w="1384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9B14B" w14:textId="77777777" w:rsidR="00ED73C6" w:rsidRDefault="001C3C90">
            <w:r>
              <w:t>float</w:t>
            </w:r>
          </w:p>
        </w:tc>
        <w:tc>
          <w:tcPr>
            <w:tcW w:w="3055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350FB" w14:textId="77777777" w:rsidR="00ED73C6" w:rsidRDefault="001C3C90">
            <w:r>
              <w:t>Cotizaciones internacionales de maíz (MATIF/CBOT) con lags 1-3 meses, media móvil 3 meses y volatilidad 3 meses, convertidos a EUR.</w:t>
            </w:r>
          </w:p>
        </w:tc>
        <w:tc>
          <w:tcPr>
            <w:tcW w:w="130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672A5" w14:textId="77777777" w:rsidR="00ED73C6" w:rsidRDefault="001C3C90">
            <w:r>
              <w:t>Sí (derivado del pipeline ETL)</w:t>
            </w:r>
          </w:p>
        </w:tc>
        <w:tc>
          <w:tcPr>
            <w:tcW w:w="144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8E607" w14:textId="77777777" w:rsidR="00ED73C6" w:rsidRDefault="001C3C90">
            <w:r>
              <w:t>-</w:t>
            </w:r>
          </w:p>
        </w:tc>
      </w:tr>
      <w:tr w:rsidR="00ED73C6" w14:paraId="16F0E665" w14:textId="77777777">
        <w:tc>
          <w:tcPr>
            <w:tcW w:w="216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75790" w14:textId="77777777" w:rsidR="00ED73C6" w:rsidRDefault="001C3C90">
            <w:r>
              <w:t>wheat_intl_eur_*</w:t>
            </w:r>
          </w:p>
        </w:tc>
        <w:tc>
          <w:tcPr>
            <w:tcW w:w="1384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7203C" w14:textId="77777777" w:rsidR="00ED73C6" w:rsidRDefault="001C3C90">
            <w:r>
              <w:t>float</w:t>
            </w:r>
          </w:p>
        </w:tc>
        <w:tc>
          <w:tcPr>
            <w:tcW w:w="3055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C4716" w14:textId="77777777" w:rsidR="00ED73C6" w:rsidRDefault="001C3C90">
            <w:r>
              <w:t>Cotizaciones internacionales de trigo con lags 1-3, MA3 y vol3 en EUR.</w:t>
            </w:r>
          </w:p>
        </w:tc>
        <w:tc>
          <w:tcPr>
            <w:tcW w:w="130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FCDB1" w14:textId="77777777" w:rsidR="00ED73C6" w:rsidRDefault="001C3C90">
            <w:r>
              <w:t>Sí (derivado del pipeline ETL)</w:t>
            </w:r>
          </w:p>
        </w:tc>
        <w:tc>
          <w:tcPr>
            <w:tcW w:w="144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2C9B4" w14:textId="77777777" w:rsidR="00ED73C6" w:rsidRDefault="001C3C90">
            <w:r>
              <w:t>-</w:t>
            </w:r>
          </w:p>
        </w:tc>
      </w:tr>
      <w:tr w:rsidR="00ED73C6" w14:paraId="5200F333" w14:textId="77777777">
        <w:tc>
          <w:tcPr>
            <w:tcW w:w="216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368AA" w14:textId="77777777" w:rsidR="00ED73C6" w:rsidRDefault="001C3C90">
            <w:r>
              <w:t>eur_usd_lag_1/2</w:t>
            </w:r>
          </w:p>
        </w:tc>
        <w:tc>
          <w:tcPr>
            <w:tcW w:w="1384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30F89" w14:textId="77777777" w:rsidR="00ED73C6" w:rsidRDefault="001C3C90">
            <w:r>
              <w:t>float</w:t>
            </w:r>
          </w:p>
        </w:tc>
        <w:tc>
          <w:tcPr>
            <w:tcW w:w="3055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7C313" w14:textId="77777777" w:rsidR="00ED73C6" w:rsidRDefault="001C3C90">
            <w:r>
              <w:t>Paridad EUR/USD con 1 y 2 meses de retardo.</w:t>
            </w:r>
          </w:p>
        </w:tc>
        <w:tc>
          <w:tcPr>
            <w:tcW w:w="130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3949B" w14:textId="77777777" w:rsidR="00ED73C6" w:rsidRDefault="001C3C90">
            <w:r>
              <w:t>Sí (derivado del pipeline ETL)</w:t>
            </w:r>
          </w:p>
        </w:tc>
        <w:tc>
          <w:tcPr>
            <w:tcW w:w="144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8DCF1" w14:textId="77777777" w:rsidR="00ED73C6" w:rsidRDefault="001C3C90">
            <w:r>
              <w:t>-</w:t>
            </w:r>
          </w:p>
        </w:tc>
      </w:tr>
      <w:tr w:rsidR="00ED73C6" w14:paraId="2BBE9D58" w14:textId="77777777">
        <w:tc>
          <w:tcPr>
            <w:tcW w:w="216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EC9B7" w14:textId="77777777" w:rsidR="00ED73C6" w:rsidRDefault="001C3C90">
            <w:r>
              <w:t>idx_*_lag_3/4</w:t>
            </w:r>
          </w:p>
        </w:tc>
        <w:tc>
          <w:tcPr>
            <w:tcW w:w="1384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D3151" w14:textId="77777777" w:rsidR="00ED73C6" w:rsidRDefault="001C3C90">
            <w:r>
              <w:t>float</w:t>
            </w:r>
          </w:p>
        </w:tc>
        <w:tc>
          <w:tcPr>
            <w:tcW w:w="3055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9E756" w14:textId="77777777" w:rsidR="00ED73C6" w:rsidRDefault="001C3C90">
            <w:r>
              <w:t>Índices MAPA de costes: fertilizantes, fitosanitarios, semillas, energía, con lags 3-4 meses.</w:t>
            </w:r>
          </w:p>
        </w:tc>
        <w:tc>
          <w:tcPr>
            <w:tcW w:w="130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CB232" w14:textId="77777777" w:rsidR="00ED73C6" w:rsidRDefault="001C3C90">
            <w:r>
              <w:t>Sí (derivado del pipeline ETL)</w:t>
            </w:r>
          </w:p>
        </w:tc>
        <w:tc>
          <w:tcPr>
            <w:tcW w:w="144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D0DFF" w14:textId="77777777" w:rsidR="00ED73C6" w:rsidRDefault="001C3C90">
            <w:r>
              <w:t>-</w:t>
            </w:r>
          </w:p>
        </w:tc>
      </w:tr>
      <w:tr w:rsidR="00ED73C6" w14:paraId="2AD179ED" w14:textId="77777777">
        <w:tc>
          <w:tcPr>
            <w:tcW w:w="216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70B2A" w14:textId="77777777" w:rsidR="00ED73C6" w:rsidRDefault="001C3C90">
            <w:r>
              <w:t>prepag1/2_*_lag_3/4</w:t>
            </w:r>
          </w:p>
        </w:tc>
        <w:tc>
          <w:tcPr>
            <w:tcW w:w="1384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42E11" w14:textId="77777777" w:rsidR="00ED73C6" w:rsidRDefault="001C3C90">
            <w:r>
              <w:t>float</w:t>
            </w:r>
          </w:p>
        </w:tc>
        <w:tc>
          <w:tcPr>
            <w:tcW w:w="3055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7F38D" w14:textId="77777777" w:rsidR="00ED73C6" w:rsidRDefault="001C3C90">
            <w:r>
              <w:t>Costes prepagados: urea, DAP, paja cereales, torta girasol, con lags 3-4 meses.</w:t>
            </w:r>
          </w:p>
        </w:tc>
        <w:tc>
          <w:tcPr>
            <w:tcW w:w="130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75CF6" w14:textId="77777777" w:rsidR="00ED73C6" w:rsidRDefault="001C3C90">
            <w:r>
              <w:t xml:space="preserve">Sí (derivado del </w:t>
            </w:r>
            <w:r>
              <w:lastRenderedPageBreak/>
              <w:t>pipeline ETL)</w:t>
            </w:r>
          </w:p>
        </w:tc>
        <w:tc>
          <w:tcPr>
            <w:tcW w:w="144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62335" w14:textId="77777777" w:rsidR="00ED73C6" w:rsidRDefault="001C3C90">
            <w:r>
              <w:lastRenderedPageBreak/>
              <w:t>-</w:t>
            </w:r>
          </w:p>
        </w:tc>
      </w:tr>
      <w:tr w:rsidR="00ED73C6" w14:paraId="629E6BC0" w14:textId="77777777">
        <w:tc>
          <w:tcPr>
            <w:tcW w:w="216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F527D" w14:textId="77777777" w:rsidR="00ED73C6" w:rsidRDefault="001C3C90">
            <w:r>
              <w:t>precip_provincial_lag_1/2</w:t>
            </w:r>
          </w:p>
        </w:tc>
        <w:tc>
          <w:tcPr>
            <w:tcW w:w="1384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C53A3" w14:textId="77777777" w:rsidR="00ED73C6" w:rsidRDefault="001C3C90">
            <w:r>
              <w:t>float (mm)</w:t>
            </w:r>
          </w:p>
        </w:tc>
        <w:tc>
          <w:tcPr>
            <w:tcW w:w="3055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15FF8" w14:textId="77777777" w:rsidR="00ED73C6" w:rsidRDefault="001C3C90">
            <w:r>
              <w:t>Precipitación provincial con lags 1-2 meses, incluyendo desviación estándar y shock relativo.</w:t>
            </w:r>
          </w:p>
        </w:tc>
        <w:tc>
          <w:tcPr>
            <w:tcW w:w="130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B7913" w14:textId="77777777" w:rsidR="00ED73C6" w:rsidRDefault="001C3C90">
            <w:r>
              <w:t>Sí (derivado del pipeline ETL)</w:t>
            </w:r>
          </w:p>
        </w:tc>
        <w:tc>
          <w:tcPr>
            <w:tcW w:w="144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0886D" w14:textId="77777777" w:rsidR="00ED73C6" w:rsidRDefault="001C3C90">
            <w:r>
              <w:t>-</w:t>
            </w:r>
          </w:p>
        </w:tc>
      </w:tr>
      <w:tr w:rsidR="00ED73C6" w14:paraId="4FE1D88A" w14:textId="77777777">
        <w:tc>
          <w:tcPr>
            <w:tcW w:w="216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8A0C1" w14:textId="77777777" w:rsidR="00ED73C6" w:rsidRDefault="001C3C90">
            <w:r>
              <w:t>temp_provincial_*</w:t>
            </w:r>
          </w:p>
        </w:tc>
        <w:tc>
          <w:tcPr>
            <w:tcW w:w="1384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BFD8E" w14:textId="77777777" w:rsidR="00ED73C6" w:rsidRDefault="001C3C90">
            <w:r>
              <w:t>float (°C)</w:t>
            </w:r>
          </w:p>
        </w:tc>
        <w:tc>
          <w:tcPr>
            <w:tcW w:w="3055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B0ABA" w14:textId="77777777" w:rsidR="00ED73C6" w:rsidRDefault="001C3C90">
            <w:r>
              <w:t>Variables de temperatura provincial (media, máxima, mínima) y anomalía.</w:t>
            </w:r>
          </w:p>
        </w:tc>
        <w:tc>
          <w:tcPr>
            <w:tcW w:w="130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748C2" w14:textId="77777777" w:rsidR="00ED73C6" w:rsidRDefault="001C3C90">
            <w:r>
              <w:t>Sí (derivado del pipeline ETL)</w:t>
            </w:r>
          </w:p>
        </w:tc>
        <w:tc>
          <w:tcPr>
            <w:tcW w:w="144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EDD04" w14:textId="77777777" w:rsidR="00ED73C6" w:rsidRDefault="001C3C90">
            <w:r>
              <w:t>-</w:t>
            </w:r>
          </w:p>
        </w:tc>
      </w:tr>
      <w:tr w:rsidR="00ED73C6" w14:paraId="47E59564" w14:textId="77777777">
        <w:tc>
          <w:tcPr>
            <w:tcW w:w="216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D15B4" w14:textId="77777777" w:rsidR="00ED73C6" w:rsidRDefault="001C3C90">
            <w:r>
              <w:t>z_clima_adverso_*</w:t>
            </w:r>
          </w:p>
        </w:tc>
        <w:tc>
          <w:tcPr>
            <w:tcW w:w="1384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65FA1" w14:textId="77777777" w:rsidR="00ED73C6" w:rsidRDefault="001C3C90">
            <w:r>
              <w:t>float</w:t>
            </w:r>
          </w:p>
        </w:tc>
        <w:tc>
          <w:tcPr>
            <w:tcW w:w="3055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F50AC" w14:textId="77777777" w:rsidR="00ED73C6" w:rsidRDefault="001C3C90">
            <w:r>
              <w:t>Z-scores de anomalía climática para identificar eventos extremos.</w:t>
            </w:r>
          </w:p>
        </w:tc>
        <w:tc>
          <w:tcPr>
            <w:tcW w:w="130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69E45" w14:textId="77777777" w:rsidR="00ED73C6" w:rsidRDefault="001C3C90">
            <w:r>
              <w:t>Sí (derivado del pipeline ETL)</w:t>
            </w:r>
          </w:p>
        </w:tc>
        <w:tc>
          <w:tcPr>
            <w:tcW w:w="144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270FE" w14:textId="77777777" w:rsidR="00ED73C6" w:rsidRDefault="001C3C90">
            <w:r>
              <w:t>-</w:t>
            </w:r>
          </w:p>
        </w:tc>
      </w:tr>
      <w:tr w:rsidR="00ED73C6" w14:paraId="216C5B59" w14:textId="77777777">
        <w:tc>
          <w:tcPr>
            <w:tcW w:w="216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1045B" w14:textId="77777777" w:rsidR="00ED73C6" w:rsidRDefault="001C3C90">
            <w:r>
              <w:t>sup_cereal_predominante_lag_1</w:t>
            </w:r>
          </w:p>
        </w:tc>
        <w:tc>
          <w:tcPr>
            <w:tcW w:w="1384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0E788" w14:textId="77777777" w:rsidR="00ED73C6" w:rsidRDefault="001C3C90">
            <w:r>
              <w:t>float (ha)</w:t>
            </w:r>
          </w:p>
        </w:tc>
        <w:tc>
          <w:tcPr>
            <w:tcW w:w="3055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F2965" w14:textId="77777777" w:rsidR="00ED73C6" w:rsidRDefault="001C3C90">
            <w:r>
              <w:t>Superficie sembrada del cereal predominante con 1 mes de retardo.</w:t>
            </w:r>
          </w:p>
        </w:tc>
        <w:tc>
          <w:tcPr>
            <w:tcW w:w="130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3CB21" w14:textId="77777777" w:rsidR="00ED73C6" w:rsidRDefault="001C3C90">
            <w:r>
              <w:t>Sí (derivado del pipeline ETL)</w:t>
            </w:r>
          </w:p>
        </w:tc>
        <w:tc>
          <w:tcPr>
            <w:tcW w:w="144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476BF" w14:textId="77777777" w:rsidR="00ED73C6" w:rsidRDefault="001C3C90">
            <w:r>
              <w:t>-</w:t>
            </w:r>
          </w:p>
        </w:tc>
      </w:tr>
      <w:tr w:rsidR="00ED73C6" w14:paraId="5F273F2A" w14:textId="77777777">
        <w:tc>
          <w:tcPr>
            <w:tcW w:w="216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936A1" w14:textId="77777777" w:rsidR="00ED73C6" w:rsidRDefault="001C3C90">
            <w:r>
              <w:t>dist_puerto_min_km</w:t>
            </w:r>
          </w:p>
        </w:tc>
        <w:tc>
          <w:tcPr>
            <w:tcW w:w="1384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19B65" w14:textId="77777777" w:rsidR="00ED73C6" w:rsidRDefault="001C3C90">
            <w:r>
              <w:t>float (km)</w:t>
            </w:r>
          </w:p>
        </w:tc>
        <w:tc>
          <w:tcPr>
            <w:tcW w:w="3055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37AE2" w14:textId="77777777" w:rsidR="00ED73C6" w:rsidRDefault="001C3C90">
            <w:r>
              <w:t>Distancia mínima geodésica (Haversine) al puerto de referencia más cercano.</w:t>
            </w:r>
          </w:p>
        </w:tc>
        <w:tc>
          <w:tcPr>
            <w:tcW w:w="130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E206B" w14:textId="77777777" w:rsidR="00ED73C6" w:rsidRDefault="001C3C90">
            <w:r>
              <w:t>Sí (derivado del pipeline ETL)</w:t>
            </w:r>
          </w:p>
        </w:tc>
        <w:tc>
          <w:tcPr>
            <w:tcW w:w="144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E8D7F" w14:textId="77777777" w:rsidR="00ED73C6" w:rsidRDefault="001C3C90">
            <w:r>
              <w:t>-</w:t>
            </w:r>
          </w:p>
        </w:tc>
      </w:tr>
      <w:tr w:rsidR="00ED73C6" w14:paraId="3643E55F" w14:textId="77777777">
        <w:tc>
          <w:tcPr>
            <w:tcW w:w="216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F1C2D" w14:textId="77777777" w:rsidR="00ED73C6" w:rsidRDefault="001C3C90">
            <w:r>
              <w:t>presion_combustible_puerto</w:t>
            </w:r>
          </w:p>
        </w:tc>
        <w:tc>
          <w:tcPr>
            <w:tcW w:w="1384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8D617" w14:textId="77777777" w:rsidR="00ED73C6" w:rsidRDefault="001C3C90">
            <w:r>
              <w:t>float</w:t>
            </w:r>
          </w:p>
        </w:tc>
        <w:tc>
          <w:tcPr>
            <w:tcW w:w="3055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A385A" w14:textId="77777777" w:rsidR="00ED73C6" w:rsidRDefault="001C3C90">
            <w:r>
              <w:t>Índice de presión de costes de combustible vinculado a la distancia al nodo logístico.</w:t>
            </w:r>
          </w:p>
        </w:tc>
        <w:tc>
          <w:tcPr>
            <w:tcW w:w="130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0A23F" w14:textId="77777777" w:rsidR="00ED73C6" w:rsidRDefault="001C3C90">
            <w:r>
              <w:t>Sí (derivado del pipeline ETL)</w:t>
            </w:r>
          </w:p>
        </w:tc>
        <w:tc>
          <w:tcPr>
            <w:tcW w:w="144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D24A6" w14:textId="77777777" w:rsidR="00ED73C6" w:rsidRDefault="001C3C90">
            <w:r>
              <w:t>-</w:t>
            </w:r>
          </w:p>
        </w:tc>
      </w:tr>
      <w:tr w:rsidR="00ED73C6" w14:paraId="78B5EC63" w14:textId="77777777">
        <w:tc>
          <w:tcPr>
            <w:tcW w:w="216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34B18" w14:textId="77777777" w:rsidR="00ED73C6" w:rsidRDefault="001C3C90">
            <w:r>
              <w:t>provincia_*</w:t>
            </w:r>
          </w:p>
        </w:tc>
        <w:tc>
          <w:tcPr>
            <w:tcW w:w="1384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4D2E7" w14:textId="77777777" w:rsidR="00ED73C6" w:rsidRDefault="001C3C90">
            <w:r>
              <w:t>float (one-hot)</w:t>
            </w:r>
          </w:p>
        </w:tc>
        <w:tc>
          <w:tcPr>
            <w:tcW w:w="3055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BB312" w14:textId="77777777" w:rsidR="00ED73C6" w:rsidRDefault="001C3C90">
            <w:r>
              <w:t>Codificación one-hot de 23 provincias productoras.</w:t>
            </w:r>
          </w:p>
        </w:tc>
        <w:tc>
          <w:tcPr>
            <w:tcW w:w="130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19A80" w14:textId="77777777" w:rsidR="00ED73C6" w:rsidRDefault="001C3C90">
            <w:r>
              <w:t>Sí (derivado del pipeline ETL)</w:t>
            </w:r>
          </w:p>
        </w:tc>
        <w:tc>
          <w:tcPr>
            <w:tcW w:w="144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0D5C7" w14:textId="77777777" w:rsidR="00ED73C6" w:rsidRDefault="001C3C90">
            <w:r>
              <w:t>-</w:t>
            </w:r>
          </w:p>
        </w:tc>
      </w:tr>
      <w:tr w:rsidR="00ED73C6" w14:paraId="3A7114B7" w14:textId="77777777">
        <w:tc>
          <w:tcPr>
            <w:tcW w:w="216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A7B89" w14:textId="77777777" w:rsidR="00ED73C6" w:rsidRDefault="001C3C90">
            <w:r>
              <w:lastRenderedPageBreak/>
              <w:t>fase_siembra/crecimiento/cosecha</w:t>
            </w:r>
          </w:p>
        </w:tc>
        <w:tc>
          <w:tcPr>
            <w:tcW w:w="1384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2346D" w14:textId="77777777" w:rsidR="00ED73C6" w:rsidRDefault="001C3C90">
            <w:r>
              <w:t>float</w:t>
            </w:r>
          </w:p>
        </w:tc>
        <w:tc>
          <w:tcPr>
            <w:tcW w:w="3055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2049A" w14:textId="77777777" w:rsidR="00ED73C6" w:rsidRDefault="001C3C90">
            <w:r>
              <w:t>Marcadores binarios de fase fenológica del cereal según el mes.</w:t>
            </w:r>
          </w:p>
        </w:tc>
        <w:tc>
          <w:tcPr>
            <w:tcW w:w="130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75AF7" w14:textId="77777777" w:rsidR="00ED73C6" w:rsidRDefault="001C3C90">
            <w:r>
              <w:t>Sí (derivado del pipeline ETL)</w:t>
            </w:r>
          </w:p>
        </w:tc>
        <w:tc>
          <w:tcPr>
            <w:tcW w:w="144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99976" w14:textId="77777777" w:rsidR="00ED73C6" w:rsidRDefault="001C3C90">
            <w:r>
              <w:t>-</w:t>
            </w:r>
          </w:p>
        </w:tc>
      </w:tr>
      <w:tr w:rsidR="00ED73C6" w14:paraId="4250EC63" w14:textId="77777777">
        <w:tc>
          <w:tcPr>
            <w:tcW w:w="216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489F2" w14:textId="77777777" w:rsidR="00ED73C6" w:rsidRDefault="001C3C90">
            <w:r>
              <w:t>month_sin/month_cos</w:t>
            </w:r>
          </w:p>
        </w:tc>
        <w:tc>
          <w:tcPr>
            <w:tcW w:w="1384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CDE1C" w14:textId="77777777" w:rsidR="00ED73C6" w:rsidRDefault="001C3C90">
            <w:r>
              <w:t>float</w:t>
            </w:r>
          </w:p>
        </w:tc>
        <w:tc>
          <w:tcPr>
            <w:tcW w:w="3055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19FCE" w14:textId="77777777" w:rsidR="00ED73C6" w:rsidRDefault="001C3C90">
            <w:r>
              <w:t>Codificación cíclica trigonométrica del mes del año.</w:t>
            </w:r>
          </w:p>
        </w:tc>
        <w:tc>
          <w:tcPr>
            <w:tcW w:w="130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C6E30" w14:textId="77777777" w:rsidR="00ED73C6" w:rsidRDefault="001C3C90">
            <w:r>
              <w:t>Sí (derivado del pipeline ETL)</w:t>
            </w:r>
          </w:p>
        </w:tc>
        <w:tc>
          <w:tcPr>
            <w:tcW w:w="144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C04CC" w14:textId="77777777" w:rsidR="00ED73C6" w:rsidRDefault="001C3C90">
            <w:r>
              <w:t>-</w:t>
            </w:r>
          </w:p>
        </w:tc>
      </w:tr>
    </w:tbl>
    <w:p w14:paraId="2301E228" w14:textId="43111ADC" w:rsidR="00ED73C6" w:rsidRDefault="00D12B9E" w:rsidP="00D12B9E">
      <w:pPr>
        <w:pStyle w:val="Caption"/>
        <w:jc w:val="center"/>
      </w:pPr>
      <w:bookmarkStart w:id="4" w:name="_Toc233977641"/>
      <w:r>
        <w:t xml:space="preserve">Tabla </w:t>
      </w:r>
      <w:fldSimple w:instr=" SEQ Tabla \* ARABIC ">
        <w:r>
          <w:rPr>
            <w:noProof/>
          </w:rPr>
          <w:t>3</w:t>
        </w:r>
      </w:fldSimple>
      <w:r>
        <w:t xml:space="preserve"> Campos de entrada (inputs)</w:t>
      </w:r>
      <w:bookmarkEnd w:id="4"/>
    </w:p>
    <w:p w14:paraId="1A4DD035" w14:textId="77777777" w:rsidR="00ED73C6" w:rsidRPr="00D12B9E" w:rsidRDefault="001C3C90" w:rsidP="00D12B9E">
      <w:pPr>
        <w:pStyle w:val="Heading1"/>
        <w:jc w:val="left"/>
      </w:pPr>
      <w:bookmarkStart w:id="5" w:name="_Toc233977725"/>
      <w:r>
        <w:t>3. Campos de salida (outputs)</w:t>
      </w:r>
      <w:bookmarkEnd w:id="5"/>
    </w:p>
    <w:tbl>
      <w:tblPr>
        <w:tblStyle w:val="a1"/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1200"/>
        <w:gridCol w:w="2400"/>
        <w:gridCol w:w="1760"/>
        <w:gridCol w:w="1800"/>
      </w:tblGrid>
      <w:tr w:rsidR="00ED73C6" w14:paraId="74C19D16" w14:textId="77777777">
        <w:trPr>
          <w:tblHeader/>
        </w:trPr>
        <w:tc>
          <w:tcPr>
            <w:tcW w:w="2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93328" w14:textId="77777777" w:rsidR="00ED73C6" w:rsidRDefault="001C3C90">
            <w:r>
              <w:rPr>
                <w:b/>
                <w:bCs/>
                <w:color w:val="1F4E8F"/>
                <w:sz w:val="20"/>
                <w:szCs w:val="20"/>
              </w:rPr>
              <w:t>Nombre del campo</w:t>
            </w:r>
          </w:p>
        </w:tc>
        <w:tc>
          <w:tcPr>
            <w:tcW w:w="1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C5E52" w14:textId="77777777" w:rsidR="00ED73C6" w:rsidRDefault="001C3C90">
            <w:r>
              <w:rPr>
                <w:b/>
                <w:bCs/>
                <w:color w:val="1F4E8F"/>
                <w:sz w:val="20"/>
                <w:szCs w:val="20"/>
              </w:rPr>
              <w:t>Tipo</w:t>
            </w:r>
          </w:p>
        </w:tc>
        <w:tc>
          <w:tcPr>
            <w:tcW w:w="24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B52FF" w14:textId="77777777" w:rsidR="00ED73C6" w:rsidRDefault="001C3C90">
            <w:r>
              <w:rPr>
                <w:b/>
                <w:bCs/>
                <w:color w:val="1F4E8F"/>
                <w:sz w:val="20"/>
                <w:szCs w:val="20"/>
              </w:rPr>
              <w:t>Descripción</w:t>
            </w:r>
          </w:p>
        </w:tc>
        <w:tc>
          <w:tcPr>
            <w:tcW w:w="17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BC6FF" w14:textId="77777777" w:rsidR="00ED73C6" w:rsidRDefault="001C3C90">
            <w:r>
              <w:rPr>
                <w:b/>
                <w:bCs/>
                <w:color w:val="1F4E8F"/>
                <w:sz w:val="20"/>
                <w:szCs w:val="20"/>
              </w:rPr>
              <w:t>Rango de valores posibles</w:t>
            </w:r>
          </w:p>
        </w:tc>
        <w:tc>
          <w:tcPr>
            <w:tcW w:w="1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DED9E" w14:textId="77777777" w:rsidR="00ED73C6" w:rsidRDefault="001C3C90">
            <w:r>
              <w:rPr>
                <w:b/>
                <w:bCs/>
                <w:color w:val="1F4E8F"/>
                <w:sz w:val="20"/>
                <w:szCs w:val="20"/>
              </w:rPr>
              <w:t>Cómo interpretar el resultado</w:t>
            </w:r>
          </w:p>
        </w:tc>
      </w:tr>
      <w:tr w:rsidR="00ED73C6" w14:paraId="4B6C9425" w14:textId="77777777">
        <w:tc>
          <w:tcPr>
            <w:tcW w:w="2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2C6A4" w14:textId="77777777" w:rsidR="00ED73C6" w:rsidRDefault="001C3C90">
            <w:r>
              <w:t>signal_h1/h2/h3</w:t>
            </w:r>
          </w:p>
        </w:tc>
        <w:tc>
          <w:tcPr>
            <w:tcW w:w="1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B4F47" w14:textId="77777777" w:rsidR="00ED73C6" w:rsidRDefault="001C3C90">
            <w:r>
              <w:t>str (ALCISTA/BAJISTA/NEUTRAL)</w:t>
            </w:r>
          </w:p>
        </w:tc>
        <w:tc>
          <w:tcPr>
            <w:tcW w:w="24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D3E7E" w14:textId="77777777" w:rsidR="00ED73C6" w:rsidRDefault="001C3C90">
            <w:r>
              <w:t>Señal de tendencia por horizonte temporal según umbrales de retorno y probabilidad calibrados.</w:t>
            </w:r>
          </w:p>
        </w:tc>
        <w:tc>
          <w:tcPr>
            <w:tcW w:w="17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35099" w14:textId="77777777" w:rsidR="00ED73C6" w:rsidRDefault="001C3C90">
            <w:r>
              <w:t>ALCISTA, BAJISTA o NEUTRAL</w:t>
            </w:r>
          </w:p>
        </w:tc>
        <w:tc>
          <w:tcPr>
            <w:tcW w:w="1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7DBEB" w14:textId="77777777" w:rsidR="00ED73C6" w:rsidRDefault="001C3C90">
            <w:r>
              <w:t>ALCISTA indica oportunidad de compra con retorno esperado positivo y alta probabilidad; BAJISTA indica venta o espera; NEUTRAL indica zona de baja confianza.</w:t>
            </w:r>
          </w:p>
        </w:tc>
      </w:tr>
      <w:tr w:rsidR="00ED73C6" w14:paraId="04F1A446" w14:textId="77777777">
        <w:tc>
          <w:tcPr>
            <w:tcW w:w="2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9697B" w14:textId="77777777" w:rsidR="00ED73C6" w:rsidRDefault="001C3C90">
            <w:r>
              <w:t>confidence_h1/h2/h3</w:t>
            </w:r>
          </w:p>
        </w:tc>
        <w:tc>
          <w:tcPr>
            <w:tcW w:w="1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07384" w14:textId="77777777" w:rsidR="00ED73C6" w:rsidRDefault="001C3C90">
            <w:r>
              <w:t>float (%)</w:t>
            </w:r>
          </w:p>
        </w:tc>
        <w:tc>
          <w:tcPr>
            <w:tcW w:w="24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C7501" w14:textId="77777777" w:rsidR="00ED73C6" w:rsidRDefault="001C3C90">
            <w:r>
              <w:t>Nivel de confianza de la señal, basado en la probabilidad calibrada del clasificador.</w:t>
            </w:r>
          </w:p>
        </w:tc>
        <w:tc>
          <w:tcPr>
            <w:tcW w:w="17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1907D" w14:textId="77777777" w:rsidR="00ED73C6" w:rsidRDefault="001C3C90">
            <w:r>
              <w:t>0-100%</w:t>
            </w:r>
          </w:p>
        </w:tc>
        <w:tc>
          <w:tcPr>
            <w:tcW w:w="1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0DF42" w14:textId="77777777" w:rsidR="00ED73C6" w:rsidRDefault="001C3C90">
            <w:r>
              <w:t>Valores &gt;60% indican alta fiabilidad de la señal; 40-60% zona de cautela; &lt;40% señal no operativa.</w:t>
            </w:r>
          </w:p>
        </w:tc>
      </w:tr>
      <w:tr w:rsidR="00ED73C6" w14:paraId="3F9D3F18" w14:textId="77777777">
        <w:tc>
          <w:tcPr>
            <w:tcW w:w="2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7B4E0" w14:textId="77777777" w:rsidR="00ED73C6" w:rsidRPr="00A90EBB" w:rsidRDefault="001C3C90">
            <w:pPr>
              <w:rPr>
                <w:lang w:val="en-US"/>
              </w:rPr>
            </w:pPr>
            <w:r w:rsidRPr="00A90EBB">
              <w:rPr>
                <w:lang w:val="en-US"/>
              </w:rPr>
              <w:t>expected_return_h1/h2/h3</w:t>
            </w:r>
          </w:p>
        </w:tc>
        <w:tc>
          <w:tcPr>
            <w:tcW w:w="1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2BCA0" w14:textId="77777777" w:rsidR="00ED73C6" w:rsidRDefault="001C3C90">
            <w:r>
              <w:t>float (fracción)</w:t>
            </w:r>
          </w:p>
        </w:tc>
        <w:tc>
          <w:tcPr>
            <w:tcW w:w="24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B06B7" w14:textId="77777777" w:rsidR="00ED73C6" w:rsidRDefault="001C3C90">
            <w:r>
              <w:t xml:space="preserve">Retorno porcentual esperado estimado </w:t>
            </w:r>
            <w:r>
              <w:lastRenderedPageBreak/>
              <w:t>por el regresor para cada horizonte.</w:t>
            </w:r>
          </w:p>
        </w:tc>
        <w:tc>
          <w:tcPr>
            <w:tcW w:w="17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D63FC" w14:textId="77777777" w:rsidR="00ED73C6" w:rsidRDefault="001C3C90">
            <w:r>
              <w:lastRenderedPageBreak/>
              <w:t>Continuo (típicamente -0.05 a +0.05)</w:t>
            </w:r>
          </w:p>
        </w:tc>
        <w:tc>
          <w:tcPr>
            <w:tcW w:w="1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19BA7" w14:textId="77777777" w:rsidR="00ED73C6" w:rsidRDefault="001C3C90">
            <w:r>
              <w:t xml:space="preserve">Valor positivo indica retorno esperado </w:t>
            </w:r>
            <w:r>
              <w:lastRenderedPageBreak/>
              <w:t>alcista; negativo bajista. Se interpreta como fracción del precio actual.</w:t>
            </w:r>
          </w:p>
        </w:tc>
      </w:tr>
      <w:tr w:rsidR="00ED73C6" w14:paraId="602C6C11" w14:textId="77777777">
        <w:tc>
          <w:tcPr>
            <w:tcW w:w="2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A4501" w14:textId="77777777" w:rsidR="00ED73C6" w:rsidRDefault="001C3C90">
            <w:r>
              <w:t>prob_up_h1/h2/h3</w:t>
            </w:r>
          </w:p>
        </w:tc>
        <w:tc>
          <w:tcPr>
            <w:tcW w:w="1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5DD33" w14:textId="77777777" w:rsidR="00ED73C6" w:rsidRDefault="001C3C90">
            <w:r>
              <w:t>float</w:t>
            </w:r>
          </w:p>
        </w:tc>
        <w:tc>
          <w:tcPr>
            <w:tcW w:w="24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3E350" w14:textId="77777777" w:rsidR="00ED73C6" w:rsidRDefault="001C3C90">
            <w:r>
              <w:t>Probabilidad calibrada de movimiento alcista según el clasificador.</w:t>
            </w:r>
          </w:p>
        </w:tc>
        <w:tc>
          <w:tcPr>
            <w:tcW w:w="17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46296" w14:textId="77777777" w:rsidR="00ED73C6" w:rsidRDefault="001C3C90">
            <w:r>
              <w:t>0-1</w:t>
            </w:r>
          </w:p>
        </w:tc>
        <w:tc>
          <w:tcPr>
            <w:tcW w:w="1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6C4E5" w14:textId="77777777" w:rsidR="00ED73C6" w:rsidRDefault="001C3C90">
            <w:r>
              <w:t>Probabilidad de que el precio suba en el horizonte indicado. Umbral de referencia: 0.65 para señal alcista.</w:t>
            </w:r>
          </w:p>
        </w:tc>
      </w:tr>
      <w:tr w:rsidR="00ED73C6" w14:paraId="04A16AE8" w14:textId="77777777">
        <w:tc>
          <w:tcPr>
            <w:tcW w:w="2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AB114" w14:textId="77777777" w:rsidR="00ED73C6" w:rsidRDefault="001C3C90">
            <w:r>
              <w:t>timing_label</w:t>
            </w:r>
          </w:p>
        </w:tc>
        <w:tc>
          <w:tcPr>
            <w:tcW w:w="1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80B22" w14:textId="77777777" w:rsidR="00ED73C6" w:rsidRDefault="001C3C90">
            <w:r>
              <w:t>str</w:t>
            </w:r>
          </w:p>
        </w:tc>
        <w:tc>
          <w:tcPr>
            <w:tcW w:w="24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FDA09" w14:textId="77777777" w:rsidR="00ED73C6" w:rsidRDefault="001C3C90">
            <w:r>
              <w:t>Etiqueta de recomendación táctica consolidada.</w:t>
            </w:r>
          </w:p>
        </w:tc>
        <w:tc>
          <w:tcPr>
            <w:tcW w:w="17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C7E70" w14:textId="77777777" w:rsidR="00ED73C6" w:rsidRDefault="001C3C90">
            <w:r>
              <w:t>COMPRA YA / VENDE YA / ESPERA / SEGUIMIENTO ACTIVO</w:t>
            </w:r>
          </w:p>
        </w:tc>
        <w:tc>
          <w:tcPr>
            <w:tcW w:w="1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B4921" w14:textId="77777777" w:rsidR="00ED73C6" w:rsidRDefault="001C3C90">
            <w:r>
              <w:t>Resumen ejecutivo de la acción recomendada según la alineación de horizontes y umbrales.</w:t>
            </w:r>
          </w:p>
        </w:tc>
      </w:tr>
      <w:tr w:rsidR="00ED73C6" w14:paraId="6F9C4291" w14:textId="77777777">
        <w:tc>
          <w:tcPr>
            <w:tcW w:w="2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EF9AF" w14:textId="77777777" w:rsidR="00ED73C6" w:rsidRDefault="001C3C90">
            <w:r>
              <w:t>geo_risk</w:t>
            </w:r>
          </w:p>
        </w:tc>
        <w:tc>
          <w:tcPr>
            <w:tcW w:w="1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D7947" w14:textId="77777777" w:rsidR="00ED73C6" w:rsidRDefault="001C3C90">
            <w:r>
              <w:t>bool</w:t>
            </w:r>
          </w:p>
        </w:tc>
        <w:tc>
          <w:tcPr>
            <w:tcW w:w="24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2764D" w14:textId="77777777" w:rsidR="00ED73C6" w:rsidRDefault="001C3C90">
            <w:r>
              <w:t>Indicador de riesgo geográfico alto basado en distancia a puertos y presión de combustible.</w:t>
            </w:r>
          </w:p>
        </w:tc>
        <w:tc>
          <w:tcPr>
            <w:tcW w:w="17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15C30" w14:textId="77777777" w:rsidR="00ED73C6" w:rsidRDefault="001C3C90">
            <w:r>
              <w:t>True/False</w:t>
            </w:r>
          </w:p>
        </w:tc>
        <w:tc>
          <w:tcPr>
            <w:tcW w:w="1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A6CC9" w14:textId="77777777" w:rsidR="00ED73C6" w:rsidRDefault="001C3C90">
            <w:r>
              <w:t>True indica que la provincia tiene alta fricción logística, lo que puede degradar la rentabilidad del arbitraje.</w:t>
            </w:r>
          </w:p>
        </w:tc>
      </w:tr>
      <w:tr w:rsidR="00ED73C6" w14:paraId="45C92584" w14:textId="77777777">
        <w:tc>
          <w:tcPr>
            <w:tcW w:w="2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2B5ED" w14:textId="77777777" w:rsidR="00ED73C6" w:rsidRDefault="001C3C90">
            <w:r>
              <w:t>causal_drivers</w:t>
            </w:r>
          </w:p>
        </w:tc>
        <w:tc>
          <w:tcPr>
            <w:tcW w:w="1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A2BAC" w14:textId="77777777" w:rsidR="00ED73C6" w:rsidRDefault="001C3C90">
            <w:r>
              <w:t>list[str]</w:t>
            </w:r>
          </w:p>
        </w:tc>
        <w:tc>
          <w:tcPr>
            <w:tcW w:w="24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A58E0" w14:textId="77777777" w:rsidR="00ED73C6" w:rsidRDefault="001C3C90">
            <w:r>
              <w:t>Top 3 factores causales con dirección e intensidad que explican la señal.</w:t>
            </w:r>
          </w:p>
        </w:tc>
        <w:tc>
          <w:tcPr>
            <w:tcW w:w="17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058B9" w14:textId="77777777" w:rsidR="00ED73C6" w:rsidRDefault="001C3C90">
            <w:r>
              <w:t>Lista de hasta 3 elementos</w:t>
            </w:r>
          </w:p>
        </w:tc>
        <w:tc>
          <w:tcPr>
            <w:tcW w:w="1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898C1" w14:textId="77777777" w:rsidR="00ED73C6" w:rsidRDefault="001C3C90">
            <w:r>
              <w:t>Permite al usuario entender qué fundamentales están impulsando la recomendación.</w:t>
            </w:r>
          </w:p>
        </w:tc>
      </w:tr>
      <w:tr w:rsidR="00ED73C6" w14:paraId="4DC0A988" w14:textId="77777777">
        <w:tc>
          <w:tcPr>
            <w:tcW w:w="2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1071A" w14:textId="77777777" w:rsidR="00ED73C6" w:rsidRDefault="001C3C90">
            <w:r>
              <w:lastRenderedPageBreak/>
              <w:t>card_text</w:t>
            </w:r>
          </w:p>
        </w:tc>
        <w:tc>
          <w:tcPr>
            <w:tcW w:w="1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A5B98" w14:textId="77777777" w:rsidR="00ED73C6" w:rsidRDefault="001C3C90">
            <w:r>
              <w:t>str</w:t>
            </w:r>
          </w:p>
        </w:tc>
        <w:tc>
          <w:tcPr>
            <w:tcW w:w="24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8A651" w14:textId="77777777" w:rsidR="00ED73C6" w:rsidRDefault="001C3C90">
            <w:r>
              <w:t>Ficha de decisión completa en texto plano con resumen ejecutivo.</w:t>
            </w:r>
          </w:p>
        </w:tc>
        <w:tc>
          <w:tcPr>
            <w:tcW w:w="17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151EF" w14:textId="77777777" w:rsidR="00ED73C6" w:rsidRDefault="001C3C90">
            <w:r>
              <w:t>Texto libre</w:t>
            </w:r>
          </w:p>
        </w:tc>
        <w:tc>
          <w:tcPr>
            <w:tcW w:w="1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115DD" w14:textId="77777777" w:rsidR="00ED73C6" w:rsidRDefault="001C3C90">
            <w:r>
              <w:t>Documento legible para el operador que consolida la información de los 3 horizontes.</w:t>
            </w:r>
          </w:p>
        </w:tc>
      </w:tr>
    </w:tbl>
    <w:p w14:paraId="3CB96C1C" w14:textId="58E5926D" w:rsidR="00ED73C6" w:rsidRDefault="00D12B9E" w:rsidP="00D12B9E">
      <w:pPr>
        <w:pStyle w:val="Caption"/>
        <w:jc w:val="center"/>
      </w:pPr>
      <w:bookmarkStart w:id="6" w:name="_Toc233977642"/>
      <w:r>
        <w:t xml:space="preserve">Tabla </w:t>
      </w:r>
      <w:fldSimple w:instr=" SEQ Tabla \* ARABIC ">
        <w:r>
          <w:rPr>
            <w:noProof/>
          </w:rPr>
          <w:t>4</w:t>
        </w:r>
      </w:fldSimple>
      <w:r>
        <w:t xml:space="preserve"> Campos de salida (outputs)</w:t>
      </w:r>
      <w:bookmarkEnd w:id="6"/>
    </w:p>
    <w:p w14:paraId="30754C35" w14:textId="77777777" w:rsidR="00ED73C6" w:rsidRPr="00D12B9E" w:rsidRDefault="001C3C90" w:rsidP="00D12B9E">
      <w:pPr>
        <w:pStyle w:val="Heading1"/>
        <w:jc w:val="left"/>
      </w:pPr>
      <w:bookmarkStart w:id="7" w:name="_Toc233977726"/>
      <w:r>
        <w:t>4. Métricas de evaluación</w:t>
      </w:r>
      <w:bookmarkEnd w:id="7"/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ED73C6" w14:paraId="663A768A" w14:textId="77777777">
        <w:trPr>
          <w:tblHeader/>
        </w:trPr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96586" w14:textId="77777777" w:rsidR="00ED73C6" w:rsidRDefault="001C3C90">
            <w:r>
              <w:rPr>
                <w:b/>
                <w:bCs/>
                <w:color w:val="1F4E8F"/>
                <w:sz w:val="20"/>
                <w:szCs w:val="20"/>
              </w:rPr>
              <w:t>Métrica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8781B" w14:textId="77777777" w:rsidR="00ED73C6" w:rsidRDefault="001C3C90">
            <w:r>
              <w:rPr>
                <w:b/>
                <w:bCs/>
                <w:color w:val="1F4E8F"/>
                <w:sz w:val="20"/>
                <w:szCs w:val="20"/>
              </w:rPr>
              <w:t>Valor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48704" w14:textId="77777777" w:rsidR="00ED73C6" w:rsidRDefault="001C3C90">
            <w:r>
              <w:rPr>
                <w:b/>
                <w:bCs/>
                <w:color w:val="1F4E8F"/>
                <w:sz w:val="20"/>
                <w:szCs w:val="20"/>
              </w:rPr>
              <w:t>Descripción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C6AD0" w14:textId="77777777" w:rsidR="00ED73C6" w:rsidRDefault="001C3C90">
            <w:r>
              <w:rPr>
                <w:b/>
                <w:bCs/>
                <w:color w:val="1F4E8F"/>
                <w:sz w:val="20"/>
                <w:szCs w:val="20"/>
              </w:rPr>
              <w:t>Interpretación (qué significa para el usuario)</w:t>
            </w:r>
          </w:p>
        </w:tc>
      </w:tr>
      <w:tr w:rsidR="00ED73C6" w14:paraId="66471EDA" w14:textId="77777777"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A7871" w14:textId="77777777" w:rsidR="00ED73C6" w:rsidRDefault="001C3C90">
            <w:r>
              <w:t>MAE H1 (regresión)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B665D" w14:textId="77777777" w:rsidR="00ED73C6" w:rsidRDefault="001C3C90">
            <w:r>
              <w:t>0.0508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2B30F" w14:textId="77777777" w:rsidR="00ED73C6" w:rsidRDefault="001C3C90">
            <w:r>
              <w:t>Error absoluto medio en retorno porcentual para el horizonte de 30 días en test.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C25E8" w14:textId="77777777" w:rsidR="00ED73C6" w:rsidRDefault="001C3C90">
            <w:r>
              <w:t>El modelo se equivoca de media 5.08 puntos porcentuales en la estimación del retorno a 30 días.</w:t>
            </w:r>
          </w:p>
        </w:tc>
      </w:tr>
      <w:tr w:rsidR="00ED73C6" w14:paraId="5626F6A9" w14:textId="77777777"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4B61F" w14:textId="77777777" w:rsidR="00ED73C6" w:rsidRDefault="001C3C90">
            <w:r>
              <w:t>Pearson R H1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BBCCC" w14:textId="77777777" w:rsidR="00ED73C6" w:rsidRDefault="001C3C90">
            <w:r>
              <w:t>0.3785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6A990" w14:textId="77777777" w:rsidR="00ED73C6" w:rsidRDefault="001C3C90">
            <w:r>
              <w:t>Correlación de Pearson entre retorno predicho y real en test (H1).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3CFC7" w14:textId="77777777" w:rsidR="00ED73C6" w:rsidRDefault="001C3C90">
            <w:r>
              <w:t>Correlación moderada positiva: el modelo captura la tendencia directionally en el corto plazo.</w:t>
            </w:r>
          </w:p>
        </w:tc>
      </w:tr>
      <w:tr w:rsidR="00ED73C6" w14:paraId="4A606779" w14:textId="77777777"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1847E" w14:textId="77777777" w:rsidR="00ED73C6" w:rsidRDefault="001C3C90">
            <w:r>
              <w:t>DA H1 (Direction Accuracy)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49A1C" w14:textId="77777777" w:rsidR="00ED73C6" w:rsidRDefault="001C3C90">
            <w:r>
              <w:t>55.91%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8F0D2" w14:textId="77777777" w:rsidR="00ED73C6" w:rsidRDefault="001C3C90">
            <w:r>
              <w:t>Porcentaje de aciertos directionales en el horizonte de 30 días.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BA185" w14:textId="77777777" w:rsidR="00ED73C6" w:rsidRDefault="001C3C90">
            <w:r>
              <w:t>El modelo acierta la dirección del movimiento en más de la mitad de los casos en H1.</w:t>
            </w:r>
          </w:p>
        </w:tc>
      </w:tr>
      <w:tr w:rsidR="00ED73C6" w14:paraId="09B257F3" w14:textId="77777777"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E65F8" w14:textId="77777777" w:rsidR="00ED73C6" w:rsidRDefault="001C3C90">
            <w:r>
              <w:t>AUC H1 (clasificación)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AD333" w14:textId="77777777" w:rsidR="00ED73C6" w:rsidRDefault="001C3C90">
            <w:r>
              <w:t>0.7116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55253" w14:textId="77777777" w:rsidR="00ED73C6" w:rsidRDefault="001C3C90">
            <w:r>
              <w:t>Área bajo la curva ROC del clasificador calibrado para H1.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40B4C" w14:textId="77777777" w:rsidR="00ED73C6" w:rsidRDefault="001C3C90">
            <w:r>
              <w:t xml:space="preserve">Capacidad discriminativa buena: separa señales alcistas </w:t>
            </w:r>
            <w:r>
              <w:lastRenderedPageBreak/>
              <w:t>reales de ruido con 71.2% de capacidad.</w:t>
            </w:r>
          </w:p>
        </w:tc>
      </w:tr>
      <w:tr w:rsidR="00ED73C6" w14:paraId="4F892A01" w14:textId="77777777"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4C9FD" w14:textId="77777777" w:rsidR="00ED73C6" w:rsidRDefault="001C3C90">
            <w:r>
              <w:t>MAE H2 (regresión)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5B809" w14:textId="77777777" w:rsidR="00ED73C6" w:rsidRDefault="001C3C90">
            <w:r>
              <w:t>0.0674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23C43" w14:textId="77777777" w:rsidR="00ED73C6" w:rsidRDefault="001C3C90">
            <w:r>
              <w:t>Error absoluto medio en retorno porcentual para el horizonte de 60 días en test.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EAE15" w14:textId="77777777" w:rsidR="00ED73C6" w:rsidRDefault="001C3C90">
            <w:r>
              <w:t>El modelo se equivoca de media 6.74 puntos porcentuales en la estimación del retorno a 60 días.</w:t>
            </w:r>
          </w:p>
        </w:tc>
      </w:tr>
      <w:tr w:rsidR="00ED73C6" w14:paraId="4D18986A" w14:textId="77777777"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D420D" w14:textId="77777777" w:rsidR="00ED73C6" w:rsidRDefault="001C3C90">
            <w:r>
              <w:t>Pearson R H2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BD6D2" w14:textId="77777777" w:rsidR="00ED73C6" w:rsidRDefault="001C3C90">
            <w:r>
              <w:t>0.2653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D17EC" w14:textId="77777777" w:rsidR="00ED73C6" w:rsidRDefault="001C3C90">
            <w:r>
              <w:t>Correlación de Pearson entre retorno predicho y real en test (H2).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B8635" w14:textId="77777777" w:rsidR="00ED73C6" w:rsidRDefault="001C3C90">
            <w:r>
              <w:t>Correlación moderada: el modelo mantiene capacidad predictiva en el medio plazo.</w:t>
            </w:r>
          </w:p>
        </w:tc>
      </w:tr>
      <w:tr w:rsidR="00ED73C6" w14:paraId="59DBC67C" w14:textId="77777777"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BE968" w14:textId="77777777" w:rsidR="00ED73C6" w:rsidRDefault="001C3C90">
            <w:r>
              <w:t>DA H2 (Direction Accuracy)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61EE3" w14:textId="77777777" w:rsidR="00ED73C6" w:rsidRDefault="001C3C90">
            <w:r>
              <w:t>56.56%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BB7B8" w14:textId="77777777" w:rsidR="00ED73C6" w:rsidRDefault="001C3C90">
            <w:r>
              <w:t>Porcentaje de aciertos directionales en el horizonte de 60 días.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3CBBC" w14:textId="77777777" w:rsidR="00ED73C6" w:rsidRDefault="001C3C90">
            <w:r>
              <w:t>H2 alcanza la mayor exactitud global (67.3%) y cobertura (54.7%) entre los horizontes.</w:t>
            </w:r>
          </w:p>
        </w:tc>
      </w:tr>
      <w:tr w:rsidR="00ED73C6" w14:paraId="6A91DEB8" w14:textId="77777777"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A5F0F" w14:textId="77777777" w:rsidR="00ED73C6" w:rsidRDefault="001C3C90">
            <w:r>
              <w:t>AUC H2 (clasificación)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D9E63" w14:textId="77777777" w:rsidR="00ED73C6" w:rsidRDefault="001C3C90">
            <w:r>
              <w:t>0.7441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210EF" w14:textId="77777777" w:rsidR="00ED73C6" w:rsidRDefault="001C3C90">
            <w:r>
              <w:t>Área bajo la curva ROC del clasificador calibrado para H2.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079EA" w14:textId="77777777" w:rsidR="00ED73C6" w:rsidRDefault="001C3C90">
            <w:r>
              <w:t>Mejor capacidad discriminativa que H1: el horizonte medio es el más equilibrado.</w:t>
            </w:r>
          </w:p>
        </w:tc>
      </w:tr>
      <w:tr w:rsidR="00ED73C6" w14:paraId="03DB54F5" w14:textId="77777777"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A3B71" w14:textId="77777777" w:rsidR="00ED73C6" w:rsidRDefault="001C3C90">
            <w:r>
              <w:t>MAE H3 (regresión)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74EE4" w14:textId="77777777" w:rsidR="00ED73C6" w:rsidRDefault="001C3C90">
            <w:r>
              <w:t>0.1012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A6FF2" w14:textId="77777777" w:rsidR="00ED73C6" w:rsidRDefault="001C3C90">
            <w:r>
              <w:t>Error absoluto medio en retorno porcentual para el horizonte de 90 días en test.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57F24" w14:textId="77777777" w:rsidR="00ED73C6" w:rsidRDefault="001C3C90">
            <w:r>
              <w:t>El error crece con el horizonte, esperado por la mayor incertidumbre a largo plazo.</w:t>
            </w:r>
          </w:p>
        </w:tc>
      </w:tr>
      <w:tr w:rsidR="00ED73C6" w14:paraId="56FFD89E" w14:textId="77777777"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6FC6B" w14:textId="77777777" w:rsidR="00ED73C6" w:rsidRDefault="001C3C90">
            <w:r>
              <w:t>Pearson R H3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E5E4C" w14:textId="77777777" w:rsidR="00ED73C6" w:rsidRDefault="001C3C90">
            <w:r>
              <w:t>0.2093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48A1C" w14:textId="77777777" w:rsidR="00ED73C6" w:rsidRDefault="001C3C90">
            <w:r>
              <w:t xml:space="preserve">Correlación de Pearson entre </w:t>
            </w:r>
            <w:r>
              <w:lastRenderedPageBreak/>
              <w:t>retorno predicho y real en test (H3).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341CB" w14:textId="77777777" w:rsidR="00ED73C6" w:rsidRDefault="001C3C90">
            <w:r>
              <w:lastRenderedPageBreak/>
              <w:t xml:space="preserve">Correlación menor pero aún </w:t>
            </w:r>
            <w:r>
              <w:lastRenderedPageBreak/>
              <w:t>significativa dado el protocolo de Blacklist Nuclear (sin lags de precio).</w:t>
            </w:r>
          </w:p>
        </w:tc>
      </w:tr>
      <w:tr w:rsidR="00ED73C6" w14:paraId="4D7A1F51" w14:textId="77777777"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6175E" w14:textId="77777777" w:rsidR="00ED73C6" w:rsidRDefault="001C3C90">
            <w:r>
              <w:t>DA H3 (Direction Accuracy)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B2F30" w14:textId="77777777" w:rsidR="00ED73C6" w:rsidRDefault="001C3C90">
            <w:r>
              <w:t>62.50%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E2D91" w14:textId="77777777" w:rsidR="00ED73C6" w:rsidRDefault="001C3C90">
            <w:r>
              <w:t>Porcentaje de aciertos directionales en el horizonte de 90 días.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6C115" w14:textId="77777777" w:rsidR="00ED73C6" w:rsidRDefault="001C3C90">
            <w:r>
              <w:t>H3 tiene la mayor DA, coherente con su rol en planificación estratégica de largo plazo.</w:t>
            </w:r>
          </w:p>
        </w:tc>
      </w:tr>
      <w:tr w:rsidR="00ED73C6" w14:paraId="550E5E8B" w14:textId="77777777"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03459" w14:textId="77777777" w:rsidR="00ED73C6" w:rsidRDefault="001C3C90">
            <w:r>
              <w:t>AUC H3 (clasificación)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536F0" w14:textId="77777777" w:rsidR="00ED73C6" w:rsidRDefault="001C3C90">
            <w:r>
              <w:t>0.7523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971A6" w14:textId="77777777" w:rsidR="00ED73C6" w:rsidRDefault="001C3C90">
            <w:r>
              <w:t>Área bajo la curva ROC del clasificador calibrado para H3.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9CCB1" w14:textId="77777777" w:rsidR="00ED73C6" w:rsidRDefault="001C3C90">
            <w:r>
              <w:t>Mejor AUC del sistema: el horizonte largo discrimina mejor las señales alcistas reales.</w:t>
            </w:r>
          </w:p>
        </w:tc>
      </w:tr>
      <w:tr w:rsidR="00ED73C6" w14:paraId="0DA0F62A" w14:textId="77777777"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DD5D6" w14:textId="77777777" w:rsidR="00ED73C6" w:rsidRDefault="001C3C90">
            <w:r>
              <w:t>Verificación golden dataset (18 casos, dataset_entrenamiento_final.csv, date&gt;=2021-01)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13653" w14:textId="77777777" w:rsidR="00ED73C6" w:rsidRDefault="001C3C90">
            <w:r>
              <w:t>17/18 (94%) dentro de tolerancia de magnitud (2x MAE); 32/54 (59.3%) aciertos de dirección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E0836" w14:textId="77777777" w:rsidR="00ED73C6" w:rsidRDefault="001C3C90">
            <w:r>
              <w:t>Tras integrar el plugin, se compararon 18 predicciones reales del servicio (vía /predict) contra el retorno realmente observado en el dataset histórico, con tolerancia = 2x el MAE reportado por horizonte.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DD56A" w14:textId="77777777" w:rsidR="00ED73C6" w:rsidRDefault="001C3C90">
            <w:r>
              <w:t xml:space="preserve">Confirma que el pipeline integrado reproduce el comportamiento declarado por el equipo de IA (magnitud consistente, dirección en línea con la DA reportada de 56-63%). El único caso fuera de tolerancia corresponde a un movimiento extremo real (+17-35%, shock de precios de 2022) </w:t>
            </w:r>
            <w:r>
              <w:lastRenderedPageBreak/>
              <w:t>que el modelo subestima sistemáticamente — limitación conocida del modelo, no un defecto de integración. Ver outputs/a21/verification_report.md.</w:t>
            </w:r>
          </w:p>
        </w:tc>
      </w:tr>
    </w:tbl>
    <w:p w14:paraId="1A7F9A77" w14:textId="4488DBEE" w:rsidR="00ED73C6" w:rsidRDefault="00D12B9E" w:rsidP="00D12B9E">
      <w:pPr>
        <w:pStyle w:val="Caption"/>
        <w:jc w:val="center"/>
      </w:pPr>
      <w:bookmarkStart w:id="8" w:name="_Toc233977643"/>
      <w:r>
        <w:t xml:space="preserve">Tabla </w:t>
      </w:r>
      <w:fldSimple w:instr=" SEQ Tabla \* ARABIC ">
        <w:r>
          <w:rPr>
            <w:noProof/>
          </w:rPr>
          <w:t>5</w:t>
        </w:r>
      </w:fldSimple>
      <w:r>
        <w:t xml:space="preserve"> Métricas de evaluación</w:t>
      </w:r>
      <w:bookmarkEnd w:id="8"/>
    </w:p>
    <w:p w14:paraId="2C5581FA" w14:textId="77777777" w:rsidR="00ED73C6" w:rsidRPr="00D12B9E" w:rsidRDefault="001C3C90" w:rsidP="00D12B9E">
      <w:pPr>
        <w:pStyle w:val="Heading1"/>
        <w:jc w:val="left"/>
      </w:pPr>
      <w:bookmarkStart w:id="9" w:name="_Toc233977727"/>
      <w:r>
        <w:t>5. Limitaciones conocidas</w:t>
      </w:r>
      <w:bookmarkEnd w:id="9"/>
    </w:p>
    <w:tbl>
      <w:tblPr>
        <w:tblStyle w:val="a"/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120"/>
        <w:gridCol w:w="6240"/>
      </w:tblGrid>
      <w:tr w:rsidR="00ED73C6" w14:paraId="5ACF6CCD" w14:textId="77777777">
        <w:trPr>
          <w:tblHeader/>
        </w:trPr>
        <w:tc>
          <w:tcPr>
            <w:tcW w:w="312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816E1" w14:textId="77777777" w:rsidR="00ED73C6" w:rsidRDefault="001C3C90">
            <w:r>
              <w:rPr>
                <w:b/>
                <w:bCs/>
                <w:color w:val="1F4E8F"/>
                <w:sz w:val="20"/>
                <w:szCs w:val="20"/>
              </w:rPr>
              <w:t>Tipo de limitación</w:t>
            </w:r>
          </w:p>
        </w:tc>
        <w:tc>
          <w:tcPr>
            <w:tcW w:w="62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2A562" w14:textId="77777777" w:rsidR="00ED73C6" w:rsidRDefault="001C3C90">
            <w:r>
              <w:rPr>
                <w:b/>
                <w:bCs/>
                <w:color w:val="1F4E8F"/>
                <w:sz w:val="20"/>
                <w:szCs w:val="20"/>
              </w:rPr>
              <w:t>Descripción (cuándo no usar / qué puede fallar)</w:t>
            </w:r>
          </w:p>
        </w:tc>
      </w:tr>
      <w:tr w:rsidR="00ED73C6" w14:paraId="221304F4" w14:textId="77777777">
        <w:tc>
          <w:tcPr>
            <w:tcW w:w="312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19EF2" w14:textId="77777777" w:rsidR="00ED73C6" w:rsidRDefault="001C3C90">
            <w:r>
              <w:t>Sesgo de agregación institucional</w:t>
            </w:r>
          </w:p>
        </w:tc>
        <w:tc>
          <w:tcPr>
            <w:tcW w:w="62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B7A63" w14:textId="77777777" w:rsidR="00ED73C6" w:rsidRDefault="001C3C90">
            <w:r>
              <w:t>El modelo aprende el precio medio provincial a partir de fuentes MAPA, ignorando dispersiones intraprovinciales. La predicción refleja una tendencia macro, no precios puntuales de mercado.</w:t>
            </w:r>
          </w:p>
        </w:tc>
      </w:tr>
      <w:tr w:rsidR="00ED73C6" w14:paraId="18B37C72" w14:textId="77777777">
        <w:tc>
          <w:tcPr>
            <w:tcW w:w="312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054A3" w14:textId="77777777" w:rsidR="00ED73C6" w:rsidRDefault="001C3C90">
            <w:r>
              <w:t>Blacklist Nuclear — ceguera técnica</w:t>
            </w:r>
          </w:p>
        </w:tc>
        <w:tc>
          <w:tcPr>
            <w:tcW w:w="62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BF7EF" w14:textId="77777777" w:rsidR="00ED73C6" w:rsidRDefault="001C3C90">
            <w:r>
              <w:t>La exclusión de lags de precio impide capturar rebotes técnicos de corto plazo. El modelo es resiliente pero menos reactivo a movimientos de inercia del mercado.</w:t>
            </w:r>
          </w:p>
        </w:tc>
      </w:tr>
      <w:tr w:rsidR="00ED73C6" w14:paraId="26D84590" w14:textId="77777777">
        <w:tc>
          <w:tcPr>
            <w:tcW w:w="312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9D51E" w14:textId="77777777" w:rsidR="00ED73C6" w:rsidRDefault="001C3C90">
            <w:r>
              <w:t>Sesgo geográfico</w:t>
            </w:r>
          </w:p>
        </w:tc>
        <w:tc>
          <w:tcPr>
            <w:tcW w:w="62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1A01D" w14:textId="77777777" w:rsidR="00ED73C6" w:rsidRDefault="001C3C90">
            <w:r>
              <w:t>Optimizado para provincias con mayor peso histórico en el dataset. En regiones con baja liquidez o dinámicas no representadas, la precisión se degrada por extrapolación.</w:t>
            </w:r>
          </w:p>
        </w:tc>
      </w:tr>
      <w:tr w:rsidR="00ED73C6" w14:paraId="49E844CD" w14:textId="77777777">
        <w:tc>
          <w:tcPr>
            <w:tcW w:w="312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174A9" w14:textId="77777777" w:rsidR="00ED73C6" w:rsidRDefault="001C3C90">
            <w:r>
              <w:t>Dependencia energética</w:t>
            </w:r>
          </w:p>
        </w:tc>
        <w:tc>
          <w:tcPr>
            <w:tcW w:w="62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55EF2" w14:textId="77777777" w:rsidR="00ED73C6" w:rsidRDefault="001C3C90">
            <w:r>
              <w:t>Asume que costes de insumos (Urea, Gas) y futuros internacionales son los motores primarios. Una ruptura estructural en esta jerarquía podría generar drift silencioso.</w:t>
            </w:r>
          </w:p>
        </w:tc>
      </w:tr>
      <w:tr w:rsidR="00ED73C6" w14:paraId="4EE4B948" w14:textId="77777777">
        <w:tc>
          <w:tcPr>
            <w:tcW w:w="312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452F9" w14:textId="77777777" w:rsidR="00ED73C6" w:rsidRDefault="001C3C90">
            <w:r>
              <w:t>Disrupciones intrapublicación</w:t>
            </w:r>
          </w:p>
        </w:tc>
        <w:tc>
          <w:tcPr>
            <w:tcW w:w="62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006E1" w14:textId="77777777" w:rsidR="00ED73C6" w:rsidRDefault="001C3C90">
            <w:r>
              <w:t>Eventos de impacto inmediato (cisnes negros) ocurridos entre dos cortes mensuales de datos no serán capturados hasta el siguiente ciclo ETL.</w:t>
            </w:r>
          </w:p>
        </w:tc>
      </w:tr>
      <w:tr w:rsidR="00ED73C6" w14:paraId="58424875" w14:textId="77777777">
        <w:tc>
          <w:tcPr>
            <w:tcW w:w="312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4ED4D" w14:textId="77777777" w:rsidR="00ED73C6" w:rsidRDefault="001C3C90">
            <w:r>
              <w:t>Intervencionismo político</w:t>
            </w:r>
          </w:p>
        </w:tc>
        <w:tc>
          <w:tcPr>
            <w:tcW w:w="62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07D43" w14:textId="77777777" w:rsidR="00ED73C6" w:rsidRDefault="001C3C90">
            <w:r>
              <w:t>No anticipa decisiones gubernamentales discretas (precios máximos, aranceles, prohibiciones de exportación) que rompan la dinámica de oferta-demandada aprendida.</w:t>
            </w:r>
          </w:p>
        </w:tc>
      </w:tr>
      <w:tr w:rsidR="00ED73C6" w14:paraId="50E6F0BA" w14:textId="77777777">
        <w:tc>
          <w:tcPr>
            <w:tcW w:w="312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29789" w14:textId="77777777" w:rsidR="00ED73C6" w:rsidRDefault="001C3C90">
            <w:r>
              <w:lastRenderedPageBreak/>
              <w:t>Requiere reentrenamiento ante cambio de régimen</w:t>
            </w:r>
          </w:p>
        </w:tc>
        <w:tc>
          <w:tcPr>
            <w:tcW w:w="62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C0CE0" w14:textId="77777777" w:rsidR="00ED73C6" w:rsidRDefault="001C3C90">
            <w:r>
              <w:t>Si las correlaciones históricas se invalidan permanentemente, el modelo deja de ser fiable hasta un reentrenamiento con datos actualizados.</w:t>
            </w:r>
          </w:p>
        </w:tc>
      </w:tr>
      <w:tr w:rsidR="00ED73C6" w14:paraId="5E3DA470" w14:textId="77777777">
        <w:tc>
          <w:tcPr>
            <w:tcW w:w="312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DEA02" w14:textId="77777777" w:rsidR="00ED73C6" w:rsidRDefault="001C3C90">
            <w:r>
              <w:t>Mercados sin contrapartida</w:t>
            </w:r>
          </w:p>
        </w:tc>
        <w:tc>
          <w:tcPr>
            <w:tcW w:w="62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731C9" w14:textId="77777777" w:rsidR="00ED73C6" w:rsidRDefault="001C3C90">
            <w:r>
              <w:t>En meses de inactividad física del mercado, la salida teórica puede ser coherente pero la ejecución real imposible por falta de liquidez.</w:t>
            </w:r>
          </w:p>
        </w:tc>
      </w:tr>
    </w:tbl>
    <w:p w14:paraId="23E22C97" w14:textId="02183EA3" w:rsidR="00ED73C6" w:rsidRDefault="00D12B9E" w:rsidP="00D12B9E">
      <w:pPr>
        <w:pStyle w:val="Caption"/>
        <w:jc w:val="center"/>
      </w:pPr>
      <w:bookmarkStart w:id="10" w:name="_Toc233977644"/>
      <w:r>
        <w:t xml:space="preserve">Tabla </w:t>
      </w:r>
      <w:fldSimple w:instr=" SEQ Tabla \* ARABIC ">
        <w:r>
          <w:rPr>
            <w:noProof/>
          </w:rPr>
          <w:t>6</w:t>
        </w:r>
      </w:fldSimple>
      <w:r>
        <w:t xml:space="preserve"> Limitaciones conocidas</w:t>
      </w:r>
      <w:bookmarkEnd w:id="10"/>
    </w:p>
    <w:p w14:paraId="36D55773" w14:textId="77777777" w:rsidR="00ED73C6" w:rsidRPr="00D12B9E" w:rsidRDefault="001C3C90" w:rsidP="00D12B9E">
      <w:pPr>
        <w:pStyle w:val="Heading1"/>
        <w:jc w:val="left"/>
      </w:pPr>
      <w:bookmarkStart w:id="11" w:name="_Toc233977728"/>
      <w:r>
        <w:t>6. Observaciones técnicas</w:t>
      </w:r>
      <w:bookmarkEnd w:id="11"/>
    </w:p>
    <w:p w14:paraId="3188B244" w14:textId="77777777" w:rsidR="00ED73C6" w:rsidRDefault="001C3C90" w:rsidP="00D12B9E">
      <w:pPr>
        <w:jc w:val="both"/>
      </w:pPr>
      <w:r>
        <w:t xml:space="preserve">CPU 4 núcleos (x86-64), 8 GB RAM mín. (16 GB recomendados). Sin GPU necesaria. Inferencia &lt;1s individual, &lt;5s batch nacional. Entrenamiento completo 5-15 min. Artefactos totales ~19.5 MB (6 .joblib + metadata.json). </w:t>
      </w:r>
      <w:r w:rsidRPr="00A90EBB">
        <w:rPr>
          <w:lang w:val="en-US"/>
        </w:rPr>
        <w:t xml:space="preserve">Librerías: scikit-learn&gt;=1.3, xgboost&gt;=2.0, pandas&gt;=2.0, numpy&gt;=1.24, joblib&gt;=1.3. Los modelos H1/H2 usan ExtraTrees (reg) + LogisticRegression (clf); H3 usa XGBoost (reg) + LogisticRegression (clf). </w:t>
      </w:r>
      <w:r>
        <w:t>Training sube artefactos a MLflow (no S3). El artefacto dataset_entrenamiento_final.csv (~7.1 MB, ~7.6k filas) se añadió como dependencia obligatoria tras esta auditoría: predict_inline solo recibe provincia/cereal/mes del caller y necesita este panel para resolver el resto de columnas de ingeniería (antes se rellenaban con 0, corrompiendo la predicción).</w:t>
      </w:r>
    </w:p>
    <w:p w14:paraId="642BAC39" w14:textId="77777777" w:rsidR="00ED73C6" w:rsidRDefault="00ED73C6"/>
    <w:p w14:paraId="6AE49187" w14:textId="77777777" w:rsidR="00D12B9E" w:rsidRDefault="00D12B9E"/>
    <w:p w14:paraId="3CCD1455" w14:textId="77777777" w:rsidR="00D12B9E" w:rsidRDefault="00D12B9E"/>
    <w:p w14:paraId="03DFC7FC" w14:textId="77777777" w:rsidR="00D12B9E" w:rsidRDefault="00D12B9E"/>
    <w:p w14:paraId="3E74D38E" w14:textId="77777777" w:rsidR="00D12B9E" w:rsidRDefault="00D12B9E"/>
    <w:p w14:paraId="0B8151BB" w14:textId="77777777" w:rsidR="00D12B9E" w:rsidRDefault="00D12B9E"/>
    <w:p w14:paraId="53E05546" w14:textId="77777777" w:rsidR="00D12B9E" w:rsidRDefault="00D12B9E"/>
    <w:p w14:paraId="7A7AF885" w14:textId="77777777" w:rsidR="00ED73C6" w:rsidRPr="00D12B9E" w:rsidRDefault="001C3C90" w:rsidP="00D12B9E">
      <w:pPr>
        <w:pStyle w:val="Heading1"/>
        <w:jc w:val="left"/>
      </w:pPr>
      <w:bookmarkStart w:id="12" w:name="_Toc233977729"/>
      <w:r>
        <w:t>7. Fichero de prueba de referencia</w:t>
      </w:r>
      <w:bookmarkEnd w:id="12"/>
    </w:p>
    <w:tbl>
      <w:tblPr>
        <w:tblStyle w:val="a"/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00"/>
        <w:gridCol w:w="6560"/>
      </w:tblGrid>
      <w:tr w:rsidR="00ED73C6" w14:paraId="7CCEFEF5" w14:textId="77777777">
        <w:tc>
          <w:tcPr>
            <w:tcW w:w="2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D0325" w14:textId="77777777" w:rsidR="00ED73C6" w:rsidRDefault="001C3C90">
            <w:r>
              <w:rPr>
                <w:b/>
                <w:bCs/>
                <w:color w:val="333333"/>
                <w:sz w:val="20"/>
                <w:szCs w:val="20"/>
              </w:rPr>
              <w:t>Nombre del fichero</w:t>
            </w:r>
          </w:p>
        </w:tc>
        <w:tc>
          <w:tcPr>
            <w:tcW w:w="65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E93F5" w14:textId="77777777" w:rsidR="00ED73C6" w:rsidRDefault="001C3C90">
            <w:r>
              <w:t>test_predict_batch.csv (360 registros: 3 provincias × 2 cereales × 60 meses)</w:t>
            </w:r>
          </w:p>
        </w:tc>
      </w:tr>
      <w:tr w:rsidR="00ED73C6" w14:paraId="183575F5" w14:textId="77777777">
        <w:tc>
          <w:tcPr>
            <w:tcW w:w="2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7FEDB" w14:textId="77777777" w:rsidR="00ED73C6" w:rsidRDefault="001C3C90">
            <w:r>
              <w:rPr>
                <w:b/>
                <w:bCs/>
                <w:color w:val="333333"/>
                <w:sz w:val="20"/>
                <w:szCs w:val="20"/>
              </w:rPr>
              <w:t>Número de registros / muestras</w:t>
            </w:r>
          </w:p>
        </w:tc>
        <w:tc>
          <w:tcPr>
            <w:tcW w:w="65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8E928" w14:textId="77777777" w:rsidR="00ED73C6" w:rsidRDefault="001C3C90">
            <w:r>
              <w:t>360</w:t>
            </w:r>
          </w:p>
        </w:tc>
      </w:tr>
      <w:tr w:rsidR="00ED73C6" w14:paraId="1BF4E262" w14:textId="77777777">
        <w:tc>
          <w:tcPr>
            <w:tcW w:w="2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AE3FC" w14:textId="77777777" w:rsidR="00ED73C6" w:rsidRDefault="001C3C90">
            <w:r>
              <w:rPr>
                <w:b/>
                <w:bCs/>
                <w:color w:val="333333"/>
                <w:sz w:val="20"/>
                <w:szCs w:val="20"/>
              </w:rPr>
              <w:lastRenderedPageBreak/>
              <w:t>Resultado esperado con este fichero</w:t>
            </w:r>
          </w:p>
        </w:tc>
        <w:tc>
          <w:tcPr>
            <w:tcW w:w="65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92C4A" w14:textId="77777777" w:rsidR="00ED73C6" w:rsidRDefault="001C3C90">
            <w:r>
              <w:t>Predicciones batch con 6 columnas de retorno y señal por horizonte (ret_h1-3, signal_h1-3, risk_geo_alto) para cada combinación provincia-cereal-mes.</w:t>
            </w:r>
          </w:p>
        </w:tc>
      </w:tr>
    </w:tbl>
    <w:p w14:paraId="3773E7D0" w14:textId="48983DD0" w:rsidR="00ED73C6" w:rsidRPr="00D12B9E" w:rsidRDefault="00D12B9E" w:rsidP="00D12B9E">
      <w:pPr>
        <w:pStyle w:val="Caption"/>
        <w:jc w:val="center"/>
      </w:pPr>
      <w:bookmarkStart w:id="13" w:name="_Toc233977645"/>
      <w:r>
        <w:t xml:space="preserve">Tabla </w:t>
      </w:r>
      <w:fldSimple w:instr=" SEQ Tabla \* ARABIC ">
        <w:r>
          <w:rPr>
            <w:noProof/>
          </w:rPr>
          <w:t>7</w:t>
        </w:r>
      </w:fldSimple>
      <w:r>
        <w:t xml:space="preserve"> Fichero de prueba de referencia</w:t>
      </w:r>
      <w:bookmarkEnd w:id="13"/>
    </w:p>
    <w:sectPr w:rsidR="00ED73C6" w:rsidRPr="00D12B9E">
      <w:headerReference w:type="even" r:id="rId12"/>
      <w:headerReference w:type="default" r:id="rId13"/>
      <w:footerReference w:type="default" r:id="rId14"/>
      <w:footerReference w:type="first" r:id="rId15"/>
      <w:pgSz w:w="11906" w:h="16838"/>
      <w:pgMar w:top="1417" w:right="1701" w:bottom="1417" w:left="1701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1B2E84" w14:textId="77777777" w:rsidR="001C3C90" w:rsidRDefault="001C3C90">
      <w:pPr>
        <w:spacing w:after="0" w:line="240" w:lineRule="auto"/>
      </w:pPr>
      <w:r>
        <w:separator/>
      </w:r>
    </w:p>
  </w:endnote>
  <w:endnote w:type="continuationSeparator" w:id="0">
    <w:p w14:paraId="3CB752BA" w14:textId="77777777" w:rsidR="001C3C90" w:rsidRDefault="001C3C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Open Sans">
    <w:charset w:val="00"/>
    <w:family w:val="swiss"/>
    <w:pitch w:val="variable"/>
    <w:sig w:usb0="E00002EF" w:usb1="4000205B" w:usb2="00000028" w:usb3="00000000" w:csb0="0000019F" w:csb1="00000000"/>
    <w:embedRegular r:id="rId1" w:fontKey="{74D2E95E-D89D-4DA2-BDEE-4CAF799A523D}"/>
    <w:embedBold r:id="rId2" w:fontKey="{CFCD2EED-3C5C-4C36-9B02-63DC4DBCB433}"/>
    <w:embedBoldItalic r:id="rId3" w:fontKey="{879A9004-8E5B-45D1-B483-BD6B9E74B115}"/>
  </w:font>
  <w:font w:name="Open Sans bold"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pace Grotesk">
    <w:charset w:val="00"/>
    <w:family w:val="auto"/>
    <w:pitch w:val="default"/>
    <w:embedRegular r:id="rId4" w:fontKey="{6BA6293B-F327-455F-8155-13D1071FE744}"/>
  </w:font>
  <w:font w:name="Times New Roman (Cuerpo en alfa">
    <w:panose1 w:val="00000000000000000000"/>
    <w:charset w:val="00"/>
    <w:family w:val="roman"/>
    <w:notTrueType/>
    <w:pitch w:val="default"/>
  </w:font>
  <w:font w:name="Lato">
    <w:charset w:val="00"/>
    <w:family w:val="swiss"/>
    <w:pitch w:val="variable"/>
    <w:sig w:usb0="E10002FF" w:usb1="5000ECFF" w:usb2="00000021" w:usb3="00000000" w:csb0="0000019F" w:csb1="00000000"/>
    <w:embedRegular r:id="rId5" w:fontKey="{37E06BE2-FA2C-49FA-A438-BBBA6DED210F}"/>
    <w:embedBold r:id="rId6" w:fontKey="{6E13A40A-8DDE-4602-8ACA-D15D857DE2EE}"/>
  </w:font>
  <w:font w:name="DM Sans">
    <w:charset w:val="00"/>
    <w:family w:val="auto"/>
    <w:pitch w:val="variable"/>
    <w:sig w:usb0="8000002F" w:usb1="5000205B" w:usb2="00000000" w:usb3="00000000" w:csb0="00000093" w:csb1="00000000"/>
    <w:embedRegular r:id="rId7" w:fontKey="{299B4C3A-FB43-4A6F-A1E5-89F4AC8EFAD7}"/>
  </w:font>
  <w:font w:name="Liberation Sans Regular">
    <w:altName w:val="Arial"/>
    <w:charset w:val="00"/>
    <w:family w:val="auto"/>
    <w:pitch w:val="default"/>
  </w:font>
  <w:font w:name="Liberalisation sans narrow">
    <w:altName w:val="Calibri"/>
    <w:charset w:val="00"/>
    <w:family w:val="auto"/>
    <w:pitch w:val="default"/>
  </w:font>
  <w:font w:name="Open Sans regular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221838" w14:textId="77777777" w:rsidR="00ED73C6" w:rsidRDefault="001C3C90">
    <w:pPr>
      <w:pBdr>
        <w:top w:val="single" w:sz="4" w:space="1" w:color="D9D9D9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  <w:rPr>
        <w:color w:val="000000"/>
      </w:rPr>
    </w:pPr>
    <w:r>
      <w:rPr>
        <w:noProof/>
      </w:rPr>
      <w:drawing>
        <wp:anchor distT="0" distB="0" distL="114300" distR="114300" simplePos="0" relativeHeight="251653632" behindDoc="0" locked="0" layoutInCell="1" hidden="0" allowOverlap="1" wp14:anchorId="4F96D757" wp14:editId="68D00BDB">
          <wp:simplePos x="0" y="0"/>
          <wp:positionH relativeFrom="column">
            <wp:posOffset>2486271</wp:posOffset>
          </wp:positionH>
          <wp:positionV relativeFrom="paragraph">
            <wp:posOffset>54140</wp:posOffset>
          </wp:positionV>
          <wp:extent cx="1343025" cy="311150"/>
          <wp:effectExtent l="0" t="0" r="0" b="0"/>
          <wp:wrapSquare wrapText="bothSides" distT="0" distB="0" distL="114300" distR="114300"/>
          <wp:docPr id="2011550220" name="image9.png" descr="A yellow sign with black text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9.png" descr="A yellow sign with black text  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43025" cy="3111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4656" behindDoc="0" locked="0" layoutInCell="1" hidden="0" allowOverlap="1" wp14:anchorId="1063B5F1" wp14:editId="5C4788CF">
          <wp:simplePos x="0" y="0"/>
          <wp:positionH relativeFrom="column">
            <wp:posOffset>5368943</wp:posOffset>
          </wp:positionH>
          <wp:positionV relativeFrom="paragraph">
            <wp:posOffset>-46335</wp:posOffset>
          </wp:positionV>
          <wp:extent cx="746760" cy="464185"/>
          <wp:effectExtent l="0" t="0" r="0" b="0"/>
          <wp:wrapSquare wrapText="bothSides" distT="0" distB="0" distL="114300" distR="114300"/>
          <wp:docPr id="2011550221" name="image3.jpg" descr="A logo with a lion and a crown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jpg" descr="A logo with a lion and a crown  AI-generated content may be incorrect.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6760" cy="46418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5680" behindDoc="0" locked="0" layoutInCell="1" hidden="0" allowOverlap="1" wp14:anchorId="3F58581F" wp14:editId="3B397ED2">
          <wp:simplePos x="0" y="0"/>
          <wp:positionH relativeFrom="column">
            <wp:posOffset>-889832</wp:posOffset>
          </wp:positionH>
          <wp:positionV relativeFrom="paragraph">
            <wp:posOffset>56415</wp:posOffset>
          </wp:positionV>
          <wp:extent cx="1488440" cy="435610"/>
          <wp:effectExtent l="0" t="0" r="0" b="0"/>
          <wp:wrapSquare wrapText="bothSides" distT="0" distB="0" distL="114300" distR="114300"/>
          <wp:docPr id="2011550222" name="image8.jpg" descr="A blue and grey logo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8.jpg" descr="A blue and grey logo  AI-generated content may be incorrect.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88440" cy="43561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6704" behindDoc="0" locked="0" layoutInCell="1" hidden="0" allowOverlap="1" wp14:anchorId="27C304CC" wp14:editId="7F9BDD06">
          <wp:simplePos x="0" y="0"/>
          <wp:positionH relativeFrom="column">
            <wp:posOffset>3922395</wp:posOffset>
          </wp:positionH>
          <wp:positionV relativeFrom="paragraph">
            <wp:posOffset>24295</wp:posOffset>
          </wp:positionV>
          <wp:extent cx="1374775" cy="343535"/>
          <wp:effectExtent l="0" t="0" r="0" b="0"/>
          <wp:wrapSquare wrapText="bothSides" distT="0" distB="0" distL="114300" distR="114300"/>
          <wp:docPr id="2011550216" name="image4.png" descr="A close-up of a sign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A close-up of a sign  AI-generated content may be incorrect."/>
                  <pic:cNvPicPr preferRelativeResize="0"/>
                </pic:nvPicPr>
                <pic:blipFill>
                  <a:blip r:embed="rId4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74775" cy="34353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907EF70" w14:textId="77777777" w:rsidR="00ED73C6" w:rsidRDefault="00ED73C6">
    <w:pPr>
      <w:pBdr>
        <w:top w:val="single" w:sz="4" w:space="1" w:color="D9D9D9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b/>
        <w:bCs/>
        <w:color w:val="000000"/>
      </w:rPr>
    </w:pPr>
  </w:p>
  <w:p w14:paraId="40798663" w14:textId="77777777" w:rsidR="00ED73C6" w:rsidRDefault="001C3C9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color w:val="000000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929044" w14:textId="77777777" w:rsidR="00ED73C6" w:rsidRDefault="001C3C9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color w:val="000000"/>
      </w:rPr>
      <w:t xml:space="preserve"> </w:t>
    </w:r>
    <w:r>
      <w:rPr>
        <w:noProof/>
      </w:rPr>
      <w:drawing>
        <wp:anchor distT="0" distB="0" distL="114300" distR="114300" simplePos="0" relativeHeight="251657728" behindDoc="0" locked="0" layoutInCell="1" hidden="0" allowOverlap="1" wp14:anchorId="197B23FF" wp14:editId="2420A802">
          <wp:simplePos x="0" y="0"/>
          <wp:positionH relativeFrom="column">
            <wp:posOffset>2498914</wp:posOffset>
          </wp:positionH>
          <wp:positionV relativeFrom="paragraph">
            <wp:posOffset>40640</wp:posOffset>
          </wp:positionV>
          <wp:extent cx="1343025" cy="311150"/>
          <wp:effectExtent l="0" t="0" r="0" b="0"/>
          <wp:wrapSquare wrapText="bothSides" distT="0" distB="0" distL="114300" distR="114300"/>
          <wp:docPr id="2011550212" name="image9.png" descr="A yellow sign with black text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9.png" descr="A yellow sign with black text  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43025" cy="3111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8752" behindDoc="0" locked="0" layoutInCell="1" hidden="0" allowOverlap="1" wp14:anchorId="13DA1B50" wp14:editId="31568396">
          <wp:simplePos x="0" y="0"/>
          <wp:positionH relativeFrom="column">
            <wp:posOffset>5134800</wp:posOffset>
          </wp:positionH>
          <wp:positionV relativeFrom="paragraph">
            <wp:posOffset>-59689</wp:posOffset>
          </wp:positionV>
          <wp:extent cx="746760" cy="464185"/>
          <wp:effectExtent l="0" t="0" r="0" b="0"/>
          <wp:wrapSquare wrapText="bothSides" distT="0" distB="0" distL="114300" distR="114300"/>
          <wp:docPr id="2011550218" name="image3.jpg" descr="A logo with a lion and a crown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jpg" descr="A logo with a lion and a crown  AI-generated content may be incorrect.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6760" cy="46418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776" behindDoc="0" locked="0" layoutInCell="1" hidden="0" allowOverlap="1" wp14:anchorId="5F02DBD2" wp14:editId="0BB7E853">
          <wp:simplePos x="0" y="0"/>
          <wp:positionH relativeFrom="column">
            <wp:posOffset>-782954</wp:posOffset>
          </wp:positionH>
          <wp:positionV relativeFrom="paragraph">
            <wp:posOffset>-38099</wp:posOffset>
          </wp:positionV>
          <wp:extent cx="1488440" cy="435610"/>
          <wp:effectExtent l="0" t="0" r="0" b="0"/>
          <wp:wrapSquare wrapText="bothSides" distT="0" distB="0" distL="114300" distR="114300"/>
          <wp:docPr id="2011550215" name="image8.jpg" descr="A blue and grey logo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8.jpg" descr="A blue and grey logo  AI-generated content may be incorrect.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88440" cy="43561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0800" behindDoc="0" locked="0" layoutInCell="1" hidden="0" allowOverlap="1" wp14:anchorId="2958743F" wp14:editId="4170624A">
          <wp:simplePos x="0" y="0"/>
          <wp:positionH relativeFrom="column">
            <wp:posOffset>3779075</wp:posOffset>
          </wp:positionH>
          <wp:positionV relativeFrom="paragraph">
            <wp:posOffset>7620</wp:posOffset>
          </wp:positionV>
          <wp:extent cx="1374775" cy="343535"/>
          <wp:effectExtent l="0" t="0" r="0" b="0"/>
          <wp:wrapSquare wrapText="bothSides" distT="0" distB="0" distL="114300" distR="114300"/>
          <wp:docPr id="2011550217" name="image4.png" descr="A close-up of a sign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A close-up of a sign  AI-generated content may be incorrect."/>
                  <pic:cNvPicPr preferRelativeResize="0"/>
                </pic:nvPicPr>
                <pic:blipFill>
                  <a:blip r:embed="rId4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74775" cy="34353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4B57CDD" w14:textId="77777777" w:rsidR="00ED73C6" w:rsidRDefault="00ED73C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  <w:p w14:paraId="1183DCF1" w14:textId="77777777" w:rsidR="00ED73C6" w:rsidRDefault="00ED73C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48F3D2" w14:textId="77777777" w:rsidR="001C3C90" w:rsidRDefault="001C3C90">
      <w:pPr>
        <w:spacing w:after="0" w:line="240" w:lineRule="auto"/>
      </w:pPr>
      <w:r>
        <w:separator/>
      </w:r>
    </w:p>
  </w:footnote>
  <w:footnote w:type="continuationSeparator" w:id="0">
    <w:p w14:paraId="0A708D6E" w14:textId="77777777" w:rsidR="001C3C90" w:rsidRDefault="001C3C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CE80DA" w14:textId="77777777" w:rsidR="00ED73C6" w:rsidRDefault="001C3C9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color w:val="000000"/>
      </w:rPr>
      <w:pict w14:anchorId="7A72762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5" type="#_x0000_t75" alt="" style="position:absolute;margin-left:0;margin-top:0;width:425pt;height:415.75pt;z-index:-251653632;mso-position-horizontal:center;mso-position-horizontal-relative:margin;mso-position-vertical:center;mso-position-vertical-relative:margin">
          <v:imagedata r:id="rId1" o:title="image6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65C506" w14:textId="77777777" w:rsidR="00ED73C6" w:rsidRDefault="001C3C90">
    <w:pPr>
      <w:pBdr>
        <w:top w:val="nil"/>
        <w:left w:val="nil"/>
        <w:bottom w:val="single" w:sz="4" w:space="1" w:color="D9D9D9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2608" behindDoc="0" locked="0" layoutInCell="1" hidden="0" allowOverlap="1" wp14:anchorId="142C8EEB" wp14:editId="0C737683">
          <wp:simplePos x="0" y="0"/>
          <wp:positionH relativeFrom="column">
            <wp:posOffset>4177533</wp:posOffset>
          </wp:positionH>
          <wp:positionV relativeFrom="paragraph">
            <wp:posOffset>-168217</wp:posOffset>
          </wp:positionV>
          <wp:extent cx="1195070" cy="429895"/>
          <wp:effectExtent l="0" t="0" r="0" b="0"/>
          <wp:wrapNone/>
          <wp:docPr id="2011550219" name="image7.jpg" descr="A logo with green leaves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7.jpg" descr="A logo with green leaves  AI-generated content may be incorrect."/>
                  <pic:cNvPicPr preferRelativeResize="0"/>
                </pic:nvPicPr>
                <pic:blipFill>
                  <a:blip r:embed="rId1"/>
                  <a:srcRect l="4150" t="23148" r="10178" b="25594"/>
                  <a:stretch>
                    <a:fillRect/>
                  </a:stretch>
                </pic:blipFill>
                <pic:spPr>
                  <a:xfrm>
                    <a:off x="0" y="0"/>
                    <a:ext cx="1195070" cy="42989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35443931" w14:textId="77777777" w:rsidR="00ED73C6" w:rsidRDefault="001C3C90">
    <w:pPr>
      <w:pBdr>
        <w:top w:val="nil"/>
        <w:left w:val="nil"/>
        <w:bottom w:val="single" w:sz="4" w:space="1" w:color="D9D9D9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rFonts w:ascii="Liberalisation sans narrow" w:eastAsia="Liberalisation sans narrow" w:hAnsi="Liberalisation sans narrow" w:cs="Liberalisation sans narrow"/>
        <w:color w:val="000000"/>
      </w:rPr>
    </w:pPr>
    <w:r>
      <w:rPr>
        <w:rFonts w:ascii="Liberalisation sans narrow" w:eastAsia="Liberalisation sans narrow" w:hAnsi="Liberalisation sans narrow" w:cs="Liberalisation sans narrow"/>
        <w:color w:val="000000"/>
      </w:rPr>
      <w:fldChar w:fldCharType="begin"/>
    </w:r>
    <w:r>
      <w:rPr>
        <w:rFonts w:ascii="Liberalisation sans narrow" w:eastAsia="Liberalisation sans narrow" w:hAnsi="Liberalisation sans narrow" w:cs="Liberalisation sans narrow"/>
        <w:color w:val="000000"/>
      </w:rPr>
      <w:instrText>PAGE</w:instrText>
    </w:r>
    <w:r>
      <w:rPr>
        <w:rFonts w:ascii="Liberalisation sans narrow" w:eastAsia="Liberalisation sans narrow" w:hAnsi="Liberalisation sans narrow" w:cs="Liberalisation sans narrow"/>
        <w:color w:val="000000"/>
      </w:rPr>
      <w:fldChar w:fldCharType="separate"/>
    </w:r>
    <w:r w:rsidR="00D12B9E">
      <w:rPr>
        <w:rFonts w:ascii="Liberalisation sans narrow" w:eastAsia="Liberalisation sans narrow" w:hAnsi="Liberalisation sans narrow" w:cs="Liberalisation sans narrow"/>
        <w:noProof/>
        <w:color w:val="000000"/>
      </w:rPr>
      <w:t>2</w:t>
    </w:r>
    <w:r>
      <w:rPr>
        <w:rFonts w:ascii="Liberalisation sans narrow" w:eastAsia="Liberalisation sans narrow" w:hAnsi="Liberalisation sans narrow" w:cs="Liberalisation sans narrow"/>
        <w:color w:val="000000"/>
      </w:rPr>
      <w:fldChar w:fldCharType="end"/>
    </w:r>
    <w:r>
      <w:rPr>
        <w:rFonts w:ascii="Liberalisation sans narrow" w:eastAsia="Liberalisation sans narrow" w:hAnsi="Liberalisation sans narrow" w:cs="Liberalisation sans narrow"/>
        <w:color w:val="000000"/>
      </w:rPr>
      <w:t xml:space="preserve"> |Ficha técnica – Modelo a21 (cereals-price-spatial)</w:t>
    </w:r>
  </w:p>
  <w:p w14:paraId="1552E79E" w14:textId="77777777" w:rsidR="00ED73C6" w:rsidRDefault="001C3C9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color w:val="000000"/>
      </w:rPr>
      <w:pict w14:anchorId="4496285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6" type="#_x0000_t75" alt="" style="position:absolute;margin-left:0;margin-top:0;width:425pt;height:415.75pt;z-index:-251654656;mso-position-horizontal:center;mso-position-horizontal-relative:margin;mso-position-vertical:center;mso-position-vertical-relative:margin">
          <v:imagedata r:id="rId2" o:title="image6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3B5816"/>
    <w:multiLevelType w:val="multilevel"/>
    <w:tmpl w:val="38825718"/>
    <w:lvl w:ilvl="0">
      <w:start w:val="1"/>
      <w:numFmt w:val="decimal"/>
      <w:lvlText w:val="%1"/>
      <w:lvlJc w:val="left"/>
      <w:pPr>
        <w:ind w:left="495" w:hanging="495"/>
      </w:pPr>
    </w:lvl>
    <w:lvl w:ilvl="1">
      <w:start w:val="1"/>
      <w:numFmt w:val="decimal"/>
      <w:lvlText w:val="%1.%2"/>
      <w:lvlJc w:val="left"/>
      <w:pPr>
        <w:ind w:left="495" w:hanging="495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num w:numId="1" w16cid:durableId="8474039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73C6"/>
    <w:rsid w:val="000E5724"/>
    <w:rsid w:val="001C3C90"/>
    <w:rsid w:val="004B6D60"/>
    <w:rsid w:val="00567CBA"/>
    <w:rsid w:val="00A90EBB"/>
    <w:rsid w:val="00D12B9E"/>
    <w:rsid w:val="00ED73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5F8250F"/>
  <w15:docId w15:val="{596E898A-13A6-460F-8135-FAEB53D16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Open Sans" w:eastAsia="Open Sans" w:hAnsi="Open Sans" w:cs="Open Sans"/>
        <w:sz w:val="22"/>
        <w:szCs w:val="22"/>
        <w:lang w:val="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00" w:after="40" w:line="240" w:lineRule="auto"/>
      <w:jc w:val="center"/>
      <w:outlineLvl w:val="0"/>
    </w:pPr>
    <w:rPr>
      <w:b/>
      <w:bCs/>
      <w:color w:val="1B2E2F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40" w:after="0" w:line="240" w:lineRule="auto"/>
      <w:outlineLvl w:val="1"/>
    </w:pPr>
    <w:rPr>
      <w:b/>
      <w:bCs/>
      <w:color w:val="28454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40" w:after="0" w:line="240" w:lineRule="auto"/>
      <w:outlineLvl w:val="2"/>
    </w:pPr>
    <w:rPr>
      <w:b/>
      <w:bCs/>
      <w:color w:val="28454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40" w:after="0"/>
      <w:outlineLvl w:val="3"/>
    </w:pPr>
    <w:rPr>
      <w:b/>
      <w:bCs/>
      <w:color w:val="284546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40" w:after="0"/>
      <w:outlineLvl w:val="4"/>
    </w:pPr>
    <w:rPr>
      <w:b/>
      <w:bCs/>
      <w:smallCaps/>
      <w:color w:val="28454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b/>
      <w:bCs/>
      <w:i/>
      <w:iCs/>
      <w:smallCaps/>
      <w:color w:val="1B2E2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AB39A2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B2E2E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AB39A2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B2E2E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39A2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B2E2E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0" w:line="204" w:lineRule="auto"/>
    </w:pPr>
    <w:rPr>
      <w:b/>
      <w:bCs/>
      <w:smallCaps/>
      <w:color w:val="739A8A"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"/>
    <w:rsid w:val="00AB39A2"/>
    <w:rPr>
      <w:rFonts w:asciiTheme="majorHAnsi" w:eastAsiaTheme="majorEastAsia" w:hAnsiTheme="majorHAnsi" w:cstheme="majorBidi"/>
      <w:color w:val="1B2E2E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AB39A2"/>
    <w:rPr>
      <w:rFonts w:asciiTheme="majorHAnsi" w:eastAsiaTheme="majorEastAsia" w:hAnsiTheme="majorHAnsi" w:cstheme="majorBidi"/>
      <w:color w:val="28454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B39A2"/>
    <w:rPr>
      <w:rFonts w:asciiTheme="majorHAnsi" w:eastAsiaTheme="majorEastAsia" w:hAnsiTheme="majorHAnsi" w:cstheme="majorBidi"/>
      <w:color w:val="28454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B39A2"/>
    <w:rPr>
      <w:rFonts w:asciiTheme="majorHAnsi" w:eastAsiaTheme="majorEastAsia" w:hAnsiTheme="majorHAnsi" w:cstheme="majorBidi"/>
      <w:color w:val="284546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AB39A2"/>
    <w:rPr>
      <w:rFonts w:asciiTheme="majorHAnsi" w:eastAsiaTheme="majorEastAsia" w:hAnsiTheme="majorHAnsi" w:cstheme="majorBidi"/>
      <w:caps/>
      <w:color w:val="28454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AB39A2"/>
    <w:rPr>
      <w:rFonts w:asciiTheme="majorHAnsi" w:eastAsiaTheme="majorEastAsia" w:hAnsiTheme="majorHAnsi" w:cstheme="majorBidi"/>
      <w:i/>
      <w:iCs/>
      <w:caps/>
      <w:color w:val="1B2E2E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rsid w:val="00AB39A2"/>
    <w:rPr>
      <w:rFonts w:asciiTheme="majorHAnsi" w:eastAsiaTheme="majorEastAsia" w:hAnsiTheme="majorHAnsi" w:cstheme="majorBidi"/>
      <w:b/>
      <w:bCs/>
      <w:color w:val="1B2E2E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rsid w:val="00AB39A2"/>
    <w:rPr>
      <w:rFonts w:asciiTheme="majorHAnsi" w:eastAsiaTheme="majorEastAsia" w:hAnsiTheme="majorHAnsi" w:cstheme="majorBidi"/>
      <w:b/>
      <w:bCs/>
      <w:i/>
      <w:iCs/>
      <w:color w:val="1B2E2E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39A2"/>
    <w:rPr>
      <w:rFonts w:asciiTheme="majorHAnsi" w:eastAsiaTheme="majorEastAsia" w:hAnsiTheme="majorHAnsi" w:cstheme="majorBidi"/>
      <w:i/>
      <w:iCs/>
      <w:color w:val="1B2E2E" w:themeColor="accent1" w:themeShade="80"/>
    </w:rPr>
  </w:style>
  <w:style w:type="paragraph" w:styleId="Caption">
    <w:name w:val="caption"/>
    <w:basedOn w:val="Normal"/>
    <w:next w:val="Normal"/>
    <w:link w:val="CaptionChar"/>
    <w:unhideWhenUsed/>
    <w:qFormat/>
    <w:rsid w:val="00AB39A2"/>
    <w:pPr>
      <w:spacing w:line="240" w:lineRule="auto"/>
    </w:pPr>
    <w:rPr>
      <w:b/>
      <w:bCs/>
      <w:smallCaps/>
      <w:color w:val="739A8A" w:themeColor="text2"/>
    </w:rPr>
  </w:style>
  <w:style w:type="character" w:customStyle="1" w:styleId="TitleChar">
    <w:name w:val="Title Char"/>
    <w:basedOn w:val="DefaultParagraphFont"/>
    <w:link w:val="Title"/>
    <w:uiPriority w:val="10"/>
    <w:rsid w:val="00AB39A2"/>
    <w:rPr>
      <w:rFonts w:asciiTheme="majorHAnsi" w:eastAsiaTheme="majorEastAsia" w:hAnsiTheme="majorHAnsi" w:cstheme="majorBidi"/>
      <w:caps/>
      <w:color w:val="739A8A" w:themeColor="text2"/>
      <w:spacing w:val="-15"/>
      <w:sz w:val="72"/>
      <w:szCs w:val="72"/>
    </w:rPr>
  </w:style>
  <w:style w:type="character" w:customStyle="1" w:styleId="SubtitleChar">
    <w:name w:val="Subtitle Char"/>
    <w:basedOn w:val="DefaultParagraphFont"/>
    <w:link w:val="Subtitle"/>
    <w:uiPriority w:val="11"/>
    <w:rsid w:val="00AB39A2"/>
    <w:rPr>
      <w:rFonts w:asciiTheme="majorHAnsi" w:eastAsiaTheme="majorEastAsia" w:hAnsiTheme="majorHAnsi" w:cstheme="majorBidi"/>
      <w:color w:val="365D5E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AB39A2"/>
    <w:rPr>
      <w:b/>
      <w:bCs/>
    </w:rPr>
  </w:style>
  <w:style w:type="character" w:styleId="Emphasis">
    <w:name w:val="Emphasis"/>
    <w:basedOn w:val="DefaultParagraphFont"/>
    <w:uiPriority w:val="20"/>
    <w:qFormat/>
    <w:rsid w:val="00AB39A2"/>
    <w:rPr>
      <w:i/>
      <w:iCs/>
    </w:rPr>
  </w:style>
  <w:style w:type="paragraph" w:styleId="NoSpacing">
    <w:name w:val="No Spacing"/>
    <w:uiPriority w:val="1"/>
    <w:qFormat/>
    <w:rsid w:val="00AB39A2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AB39A2"/>
    <w:pPr>
      <w:spacing w:before="120" w:after="120"/>
      <w:ind w:left="720"/>
    </w:pPr>
    <w:rPr>
      <w:color w:val="739A8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AB39A2"/>
    <w:rPr>
      <w:color w:val="739A8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39A2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739A8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39A2"/>
    <w:rPr>
      <w:rFonts w:asciiTheme="majorHAnsi" w:eastAsiaTheme="majorEastAsia" w:hAnsiTheme="majorHAnsi" w:cstheme="majorBidi"/>
      <w:color w:val="739A8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AB39A2"/>
    <w:rPr>
      <w:i/>
      <w:iCs/>
      <w:color w:val="A3BDB2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AB39A2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AB39A2"/>
    <w:rPr>
      <w:smallCaps/>
      <w:color w:val="A3BDB2" w:themeColor="text1" w:themeTint="A6"/>
      <w:u w:val="none" w:color="B8CCC4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AB39A2"/>
    <w:rPr>
      <w:b/>
      <w:bCs/>
      <w:smallCaps/>
      <w:color w:val="739A8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AB39A2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unhideWhenUsed/>
    <w:qFormat/>
    <w:rsid w:val="00AB39A2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171F5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71F5E"/>
  </w:style>
  <w:style w:type="paragraph" w:styleId="Footer">
    <w:name w:val="footer"/>
    <w:basedOn w:val="Normal"/>
    <w:link w:val="FooterChar"/>
    <w:uiPriority w:val="99"/>
    <w:unhideWhenUsed/>
    <w:rsid w:val="00171F5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71F5E"/>
  </w:style>
  <w:style w:type="paragraph" w:styleId="TOC1">
    <w:name w:val="toc 1"/>
    <w:basedOn w:val="Normal"/>
    <w:next w:val="Normal"/>
    <w:autoRedefine/>
    <w:uiPriority w:val="39"/>
    <w:unhideWhenUsed/>
    <w:rsid w:val="00C8187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11972"/>
    <w:pPr>
      <w:tabs>
        <w:tab w:val="left" w:pos="960"/>
        <w:tab w:val="right" w:leader="dot" w:pos="8494"/>
      </w:tabs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C81877"/>
    <w:pPr>
      <w:spacing w:after="100"/>
      <w:ind w:left="440"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C8187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81877"/>
    <w:rPr>
      <w:sz w:val="20"/>
      <w:szCs w:val="20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81877"/>
    <w:pPr>
      <w:keepLines/>
      <w:spacing w:before="120" w:after="120" w:line="240" w:lineRule="auto"/>
      <w:jc w:val="both"/>
    </w:pPr>
    <w:rPr>
      <w:rFonts w:ascii="Space Grotesk" w:hAnsi="Space Grotesk" w:cs="Times New Roman (Cuerpo en alfa"/>
      <w:sz w:val="20"/>
      <w:szCs w:val="20"/>
      <w:lang w:val="en-US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81877"/>
    <w:rPr>
      <w:rFonts w:ascii="Space Grotesk" w:hAnsi="Space Grotesk" w:cs="Times New Roman (Cuerpo en alfa"/>
      <w:sz w:val="20"/>
      <w:szCs w:val="20"/>
      <w:lang w:val="en-US"/>
    </w:rPr>
  </w:style>
  <w:style w:type="character" w:styleId="FootnoteReference">
    <w:name w:val="footnote reference"/>
    <w:uiPriority w:val="99"/>
    <w:semiHidden/>
    <w:unhideWhenUsed/>
    <w:rsid w:val="00C81877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C81877"/>
    <w:rPr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C81877"/>
    <w:rPr>
      <w:color w:val="365D5E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1877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292DEB"/>
    <w:pPr>
      <w:spacing w:after="0" w:line="240" w:lineRule="auto"/>
    </w:pPr>
    <w:rPr>
      <w:rFonts w:ascii="Lato" w:eastAsia="DM Sans" w:hAnsi="Lato" w:cs="DM Sans"/>
      <w:color w:val="739A8A" w:themeColor="text1"/>
      <w:sz w:val="24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ableofFigures">
    <w:name w:val="table of figures"/>
    <w:basedOn w:val="Normal"/>
    <w:next w:val="Normal"/>
    <w:uiPriority w:val="99"/>
    <w:unhideWhenUsed/>
    <w:rsid w:val="00CE62B2"/>
    <w:pPr>
      <w:spacing w:before="120" w:after="120" w:line="240" w:lineRule="auto"/>
      <w:jc w:val="both"/>
    </w:pPr>
    <w:rPr>
      <w:rFonts w:ascii="Lato" w:eastAsia="DM Sans" w:hAnsi="Lato" w:cs="DM Sans"/>
      <w:color w:val="739A8A" w:themeColor="text1"/>
      <w:szCs w:val="24"/>
      <w:lang w:val="en-US"/>
    </w:rPr>
  </w:style>
  <w:style w:type="character" w:customStyle="1" w:styleId="CaptionChar">
    <w:name w:val="Caption Char"/>
    <w:basedOn w:val="DefaultParagraphFont"/>
    <w:link w:val="Caption"/>
    <w:locked/>
    <w:rsid w:val="00CE62B2"/>
    <w:rPr>
      <w:b/>
      <w:bCs/>
      <w:smallCaps/>
      <w:color w:val="739A8A" w:themeColor="text2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240" w:line="240" w:lineRule="auto"/>
    </w:pPr>
    <w:rPr>
      <w:b/>
      <w:bCs/>
      <w:color w:val="365D5E"/>
      <w:sz w:val="28"/>
      <w:szCs w:val="28"/>
    </w:rPr>
  </w:style>
  <w:style w:type="table" w:customStyle="1" w:styleId="a">
    <w:basedOn w:val="TableNormal"/>
    <w:pPr>
      <w:spacing w:after="0" w:line="240" w:lineRule="auto"/>
    </w:pPr>
    <w:rPr>
      <w:rFonts w:ascii="Lato" w:eastAsia="Lato" w:hAnsi="Lato" w:cs="Lato"/>
      <w:color w:val="739A8A"/>
      <w:sz w:val="24"/>
      <w:szCs w:val="24"/>
    </w:r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rPr>
      <w:rFonts w:ascii="Lato" w:eastAsia="Lato" w:hAnsi="Lato" w:cs="Lato"/>
      <w:color w:val="739A8A"/>
      <w:sz w:val="24"/>
      <w:szCs w:val="24"/>
    </w:r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rPr>
      <w:rFonts w:ascii="Lato" w:eastAsia="Lato" w:hAnsi="Lato" w:cs="Lato"/>
      <w:color w:val="739A8A"/>
      <w:sz w:val="24"/>
      <w:szCs w:val="24"/>
    </w:r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jpg"/><Relationship Id="rId14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8.jpg"/><Relationship Id="rId2" Type="http://schemas.openxmlformats.org/officeDocument/2006/relationships/image" Target="media/image7.jpg"/><Relationship Id="rId1" Type="http://schemas.openxmlformats.org/officeDocument/2006/relationships/image" Target="media/image6.png"/><Relationship Id="rId4" Type="http://schemas.openxmlformats.org/officeDocument/2006/relationships/image" Target="media/image9.png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8.jpg"/><Relationship Id="rId2" Type="http://schemas.openxmlformats.org/officeDocument/2006/relationships/image" Target="media/image7.jpg"/><Relationship Id="rId1" Type="http://schemas.openxmlformats.org/officeDocument/2006/relationships/image" Target="media/image6.png"/><Relationship Id="rId4" Type="http://schemas.openxmlformats.org/officeDocument/2006/relationships/image" Target="media/image9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Tema de Office">
  <a:themeElements>
    <a:clrScheme name="Colores CARTIF">
      <a:dk1>
        <a:srgbClr val="739A8A"/>
      </a:dk1>
      <a:lt1>
        <a:sysClr val="window" lastClr="FFFFFF"/>
      </a:lt1>
      <a:dk2>
        <a:srgbClr val="739A8A"/>
      </a:dk2>
      <a:lt2>
        <a:srgbClr val="FFFFFF"/>
      </a:lt2>
      <a:accent1>
        <a:srgbClr val="365D5E"/>
      </a:accent1>
      <a:accent2>
        <a:srgbClr val="87C7AC"/>
      </a:accent2>
      <a:accent3>
        <a:srgbClr val="B5DDCC"/>
      </a:accent3>
      <a:accent4>
        <a:srgbClr val="9BB7AC"/>
      </a:accent4>
      <a:accent5>
        <a:srgbClr val="1B2E2F"/>
      </a:accent5>
      <a:accent6>
        <a:srgbClr val="FFFFFF"/>
      </a:accent6>
      <a:hlink>
        <a:srgbClr val="365D5E"/>
      </a:hlink>
      <a:folHlink>
        <a:srgbClr val="87C7AC"/>
      </a:folHlink>
    </a:clrScheme>
    <a:fontScheme name="CARTIF">
      <a:majorFont>
        <a:latin typeface="Open Sans bold "/>
        <a:ea typeface=""/>
        <a:cs typeface=""/>
      </a:majorFont>
      <a:minorFont>
        <a:latin typeface="Open Sans regular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ZHdsiCvpFOesiH+c3zMFCQ6GYw==">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</go:docsCustomData>
</go:gDocsCustomXmlDataStorage>
</file>

<file path=customXml/itemProps1.xml><?xml version="1.0" encoding="utf-8"?>
<ds:datastoreItem xmlns:ds="http://schemas.openxmlformats.org/officeDocument/2006/customXml" ds:itemID="{13541E44-53E1-4E1E-8B81-150EFAC17A9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12</Pages>
  <Words>1915</Words>
  <Characters>10537</Characters>
  <Application>Microsoft Office Word</Application>
  <DocSecurity>0</DocSecurity>
  <Lines>87</Lines>
  <Paragraphs>24</Paragraphs>
  <ScaleCrop>false</ScaleCrop>
  <Company/>
  <LinksUpToDate>false</LinksUpToDate>
  <CharactersWithSpaces>12428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Paula Mateos – CARTIF</dc:creator>
  <dc:description/>
  <cp:lastModifiedBy>ALEJANDRO FLORES BLANCO</cp:lastModifiedBy>
  <cp:revision>4</cp:revision>
  <cp:lastPrinted>2026-10-13T11:39:00Z</cp:lastPrinted>
  <dcterms:created xsi:type="dcterms:W3CDTF">2026-07-03T11:29:00Z</dcterms:created>
  <dcterms:modified xsi:type="dcterms:W3CDTF">2026-10-13T11:39:00Z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0x01010039AE4C5BAD873F4AAABB83E097C636D9</vt:lpwstr>
  </property>
  <property fmtid="{D5CDD505-2E9C-101B-9397-08002B2CF9AE}" pid="3" name="MediaServiceImageTags">
    <vt:lpwstr/>
  </property>
</Properties>
</file>