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7FC" w14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06B188" w14:textId="77777777" w:rsidR="00ED73C6" w:rsidRDefault="000A5DA4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490E72F" wp14:editId="7601E0FE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D55FDB" w14:textId="77777777" w:rsidR="00ED73C6" w:rsidRDefault="00ED73C6"/>
    <w:p w14:paraId="3ACB5044" w14:textId="77777777" w:rsidR="00ED73C6" w:rsidRDefault="00ED73C6"/>
    <w:p w14:paraId="24D31646" w14:textId="77777777" w:rsidR="00ED73C6" w:rsidRDefault="000A5DA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217845" wp14:editId="3C0FBC9E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A3F8A" w14:textId="77777777" w:rsidR="00ED73C6" w:rsidRDefault="00ED73C6"/>
    <w:p w14:paraId="11346F3F" w14:textId="77777777" w:rsidR="00ED73C6" w:rsidRDefault="00ED73C6"/>
    <w:p w14:paraId="239C7CC2" w14:textId="77777777" w:rsidR="00ED73C6" w:rsidRDefault="00ED73C6"/>
    <w:p w14:paraId="456AF325" w14:textId="77777777" w:rsidR="00ED73C6" w:rsidRDefault="00ED73C6"/>
    <w:p w14:paraId="32FEB606" w14:textId="77777777" w:rsidR="00ED73C6" w:rsidRDefault="00ED73C6">
      <w:pPr>
        <w:jc w:val="right"/>
      </w:pPr>
    </w:p>
    <w:p w14:paraId="7099C703" w14:textId="77777777" w:rsidR="00ED73C6" w:rsidRDefault="00ED73C6"/>
    <w:p w14:paraId="5674BF31" w14:textId="77777777" w:rsidR="00ED73C6" w:rsidRDefault="00ED73C6"/>
    <w:p w14:paraId="57D79371" w14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4402B53" w14:textId="77777777" w:rsidR="00ED73C6" w:rsidRDefault="000A5DA4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w14:paraId="2CCAB764" w14:textId="77777777" w:rsidR="00ED73C6" w:rsidRDefault="000A5DA4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a23 · lactic-market-price-forecast</w:t>
      </w:r>
    </w:p>
    <w:p w14:paraId="77EA3F8E" w14:textId="77777777" w:rsidR="00ED73C6" w:rsidRDefault="000A5DA4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Especificación técnica para integración en la plataforma DatagIA</w:t>
      </w:r>
    </w:p>
    <w:p w14:paraId="70952EAF" w14:textId="77777777" w:rsidR="00ED73C6" w:rsidRDefault="000A5DA4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Julio 2026</w:t>
      </w:r>
    </w:p>
    <w:p w14:paraId="262CD268" w14:textId="77777777" w:rsidR="00ED73C6" w:rsidRDefault="000A5DA4">
      <w:r>
        <w:rPr>
          <w:noProof/>
        </w:rPr>
        <w:drawing>
          <wp:anchor distT="0" distB="0" distL="0" distR="0" simplePos="0" relativeHeight="251660288" behindDoc="1" locked="0" layoutInCell="1" hidden="0" allowOverlap="1" wp14:anchorId="42C3D32A" wp14:editId="6D88BCF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73C6066A" w14:textId="77777777" w:rsidR="00ED73C6" w:rsidRPr="00D12B9E" w:rsidRDefault="000A5DA4" w:rsidP="00D12B9E">
      <w:pPr>
        <w:pStyle w:val="Heading1"/>
        <w:jc w:val="left"/>
      </w:pPr>
      <w:bookmarkStart w:id="0" w:name="_heading=h.33jjin156j5n" w:colFirst="0" w:colLast="0"/>
      <w:bookmarkStart w:id="1" w:name="_Toc233977723"/>
      <w:bookmarkEnd w:id="0"/>
      <w:r>
        <w:lastRenderedPageBreak/>
        <w:t>1. Información general del modelo</w:t>
      </w:r>
      <w:bookmarkEnd w:id="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:rsidRPr="000234CC" w14:paraId="1AB946D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F73D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93D6" w14:textId="77777777" w:rsidR="00ED73C6" w:rsidRPr="000234CC" w:rsidRDefault="000A5DA4">
            <w:pPr>
              <w:rPr>
                <w:lang w:val="en-US"/>
              </w:rPr>
            </w:pPr>
            <w:r w:rsidRPr="000234CC">
              <w:rPr>
                <w:lang w:val="en-US"/>
              </w:rPr>
              <w:t>ml23-lactic-market-price-forecast</w:t>
            </w:r>
          </w:p>
        </w:tc>
      </w:tr>
      <w:tr w:rsidR="00ED73C6" w14:paraId="2B5210A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A41B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7408" w14:textId="77777777" w:rsidR="00ED73C6" w:rsidRDefault="000A5DA4">
            <w:r>
              <w:t>1.0.0</w:t>
            </w:r>
          </w:p>
        </w:tc>
      </w:tr>
      <w:tr w:rsidR="00ED73C6" w14:paraId="02B4508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986A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CCA3" w14:textId="77777777" w:rsidR="00ED73C6" w:rsidRDefault="000A5DA4">
            <w:r>
              <w:t>Red neuronal recurrente GRU (PyTorch) para forecasting de series temporales del precio medio mensual de leche líquida a un horizonte fijo de 6 meses, expresado en EUR/litro. Opera sobre 16 series producto × canal usando ventanas de seq_len=6 meses y hasta 32 variables numéricas: retardos de precio, medias móviles, variables de calendario/estacionalidad e indicadores exógenos macroeconómicos y agrarios (inflación, índices agrarios del MAPA y precios percibidos por los ganaderos). Fue seleccionado como modelo</w:t>
            </w:r>
            <w:r>
              <w:t xml:space="preserve"> de producción frente a LSTM, XGBoost y los baselines Naive/Drift por obtener el menor RMSE medio en validación cruzada temporal walk-forward.</w:t>
            </w:r>
          </w:p>
        </w:tc>
      </w:tr>
      <w:tr w:rsidR="00ED73C6" w14:paraId="6EFECFC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E1B3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DDF" w14:textId="77777777" w:rsidR="00ED73C6" w:rsidRDefault="000A5DA4">
            <w:r>
              <w:t>time_series_regression (forecasting multiserie, horizonte de 6 meses)</w:t>
            </w:r>
          </w:p>
        </w:tc>
      </w:tr>
      <w:tr w:rsidR="00ED73C6" w14:paraId="51B3BC9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7B48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5F96" w14:textId="77777777" w:rsidR="00ED73C6" w:rsidRDefault="000A5DA4">
            <w:r>
              <w:t>PyTorch (GRU: 2 capas, hidden_size=64, dropout=0.3, ~43.841 parámetros) + numpy, pandas</w:t>
            </w:r>
          </w:p>
        </w:tc>
      </w:tr>
      <w:tr w:rsidR="00ED73C6" w14:paraId="4C8DFFDF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77B8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B4A5" w14:textId="77777777" w:rsidR="00ED73C6" w:rsidRDefault="000A5DA4">
            <w:r>
              <w:t>Bundle de 3 ficheros: gru_model.pt (state_dict del GRU, ~174 KB) + rnn_scaler.npz (media y escala congeladas del estandarizado) + manifest.json (feature_cols, seq_len, hidden_size, horizon, selected_model). Cargados desde el artifact store (local o s3://&lt;bucket&gt;/artifacts/fixed/ml23_lactic_market_price_forecast/).</w:t>
            </w:r>
          </w:p>
        </w:tc>
      </w:tr>
      <w:tr w:rsidR="00ED73C6" w14:paraId="3C91287B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F75B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6D1A" w14:textId="77777777" w:rsidR="00ED73C6" w:rsidRDefault="000A5DA4">
            <w:r>
              <w:t>Estimar con antelación la evolución del precio medio mensual de la leche líquida en el mercado español para apoyar la planificación de la producción, la gestión de inventarios y las políticas comerciales de productores, industrias transformadoras y canales de distribución. El sistema modela 16 series (4 productos × 4 canales) a 6 meses vista para anticipar señales de subida, estabilidad o caída del precio.</w:t>
            </w:r>
          </w:p>
        </w:tc>
      </w:tr>
      <w:tr w:rsidR="00ED73C6" w14:paraId="09F81BA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CB4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DCF3" w14:textId="77777777" w:rsidR="00ED73C6" w:rsidRDefault="000A5DA4">
            <w:r>
              <w:t xml:space="preserve">Modo predict inline: se envía un diccionario con las variables de un mes de referencia; el plugin lo replica seq_len=6 veces para construir la secuencia y devuelve el precio estimado a 6 meses. Modo predict batch: se pasa un CSV histórico con columnas producto/canal/fecha y las variables de entrada; el plugin ordena por fecha, desliza una </w:t>
            </w:r>
            <w:r>
              <w:lastRenderedPageBreak/>
              <w:t>ventana de longitud seq_len por cada grupo (producto, canal) y emite una predicción (y_pred) por ventana válida. Modo train: reentrena (refit) la arquitectura GRU ya seleccionada sobre un CSV con el mismo contrato que el dataset de entrenamiento original (fecha, producto, canal, target_precio_medio + variables exógenas); requiere obligatoriamente un mlflow_run_id (sin valor por defecto) y el bundle reentrenado se guarda solo en ese run de MLflow, nunca sobrescribe el artefacto base servido.</w:t>
            </w:r>
          </w:p>
        </w:tc>
      </w:tr>
    </w:tbl>
    <w:p w14:paraId="0E4A03E1" w14:textId="164C9CA4" w:rsidR="00ED73C6" w:rsidRDefault="00D12B9E" w:rsidP="00D12B9E">
      <w:pPr>
        <w:pStyle w:val="Caption"/>
        <w:jc w:val="center"/>
      </w:pPr>
      <w:bookmarkStart w:id="2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2"/>
    </w:p>
    <w:p w14:paraId="48838E47" w14:textId="77777777" w:rsidR="00ED73C6" w:rsidRPr="00D12B9E" w:rsidRDefault="000A5DA4" w:rsidP="00D12B9E">
      <w:pPr>
        <w:pStyle w:val="Heading1"/>
        <w:jc w:val="left"/>
      </w:pPr>
      <w:bookmarkStart w:id="3" w:name="_Toc233977724"/>
      <w:r>
        <w:t>2. Campos de entrada (inputs)</w:t>
      </w:r>
      <w:bookmarkEnd w:id="3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w14:paraId="71F932B9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14D4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D74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F77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F0D2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D95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w14:paraId="5943B21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56BA" w14:textId="77777777" w:rsidR="00ED73C6" w:rsidRDefault="000A5DA4">
            <w:r>
              <w:t>data_path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E475" w14:textId="77777777" w:rsidR="00ED73C6" w:rsidRDefault="000A5DA4">
            <w:r>
              <w:t>str (ruta CSV)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988" w14:textId="77777777" w:rsidR="00ED73C6" w:rsidRDefault="000A5DA4">
            <w:r>
              <w:t>Modo batch: CSV histórico con columnas producto, canal, fecha y las variables de entrada; admite prefijo s3://. Se desliza una ventana temporal de seq_len=6 por cada grupo (producto, canal).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CFB" w14:textId="77777777" w:rsidR="00ED73C6" w:rsidRDefault="000A5DA4">
            <w:r>
              <w:t>Sí (modo batch)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559" w14:textId="77777777" w:rsidR="00ED73C6" w:rsidRDefault="000A5DA4">
            <w:r>
              <w:t>-</w:t>
            </w:r>
          </w:p>
        </w:tc>
      </w:tr>
      <w:tr w:rsidR="00ED73C6" w14:paraId="5040049F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0C20" w14:textId="77777777" w:rsidR="00ED73C6" w:rsidRDefault="000A5DA4">
            <w:r>
              <w:t>producto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05E3" w14:textId="77777777" w:rsidR="00ED73C6" w:rsidRDefault="000A5DA4">
            <w:r>
              <w:t>str (columna CSV)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9C46" w14:textId="77777777" w:rsidR="00ED73C6" w:rsidRDefault="000A5DA4">
            <w:r>
              <w:t>Metadato de serie: tipo de leche líquida (leche_entera, leche_desnatada, leche_semidesnatada, total_leche_liquida). Agrupa las ventanas en modo batch, no es una feature numérica de la red.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F5DB" w14:textId="77777777" w:rsidR="00ED73C6" w:rsidRDefault="000A5DA4">
            <w:r>
              <w:t>Recomendado en batch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B6E3" w14:textId="77777777" w:rsidR="00ED73C6" w:rsidRDefault="000A5DA4">
            <w:r>
              <w:t>-</w:t>
            </w:r>
          </w:p>
        </w:tc>
      </w:tr>
      <w:tr w:rsidR="00ED73C6" w14:paraId="2A63E2D2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1FCD" w14:textId="77777777" w:rsidR="00ED73C6" w:rsidRDefault="000A5DA4">
            <w:r>
              <w:t>canal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E5B9" w14:textId="77777777" w:rsidR="00ED73C6" w:rsidRDefault="000A5DA4">
            <w:r>
              <w:t>str (columna CSV)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B369" w14:textId="77777777" w:rsidR="00ED73C6" w:rsidRDefault="000A5DA4">
            <w:r>
              <w:t>Metadato de serie: canal de distribución (DISCOUNTS, HIPERMERCADOS, SUPER+AUTOS, T.ESPAÑA). Agrupa las ventanas en modo batch.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AEBE" w14:textId="77777777" w:rsidR="00ED73C6" w:rsidRDefault="000A5DA4">
            <w:r>
              <w:t>Recomendado en batch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8291" w14:textId="77777777" w:rsidR="00ED73C6" w:rsidRDefault="000A5DA4">
            <w:r>
              <w:t>-</w:t>
            </w:r>
          </w:p>
        </w:tc>
      </w:tr>
      <w:tr w:rsidR="00ED73C6" w14:paraId="2CE8DCFF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6C94" w14:textId="77777777" w:rsidR="00ED73C6" w:rsidRDefault="000A5DA4">
            <w:r>
              <w:lastRenderedPageBreak/>
              <w:t>fecha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3EE3" w14:textId="77777777" w:rsidR="00ED73C6" w:rsidRDefault="000A5DA4">
            <w:r>
              <w:t>date (columna CSV)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4B22" w14:textId="77777777" w:rsidR="00ED73C6" w:rsidRDefault="000A5DA4">
            <w:r>
              <w:t>Mes de referencia de la observación; se usa para ordenar cronológicamente la ventana temporal.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0176" w14:textId="77777777" w:rsidR="00ED73C6" w:rsidRDefault="000A5DA4">
            <w:r>
              <w:t>Recomendado en batch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E8DA" w14:textId="77777777" w:rsidR="00ED73C6" w:rsidRDefault="000A5DA4">
            <w:r>
              <w:t>-</w:t>
            </w:r>
          </w:p>
        </w:tc>
      </w:tr>
      <w:tr w:rsidR="00ED73C6" w14:paraId="55AFDF81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E864" w14:textId="77777777" w:rsidR="00ED73C6" w:rsidRDefault="000A5DA4">
            <w:r>
              <w:t>current_price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48A6" w14:textId="77777777" w:rsidR="00ED73C6" w:rsidRDefault="000A5DA4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001E" w14:textId="77777777" w:rsidR="00ED73C6" w:rsidRDefault="000A5DA4">
            <w:r>
              <w:t>Precio medio observado (EUR/L) en el instante de predicción t; forma parte de las 32 variables efectivas de la red.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4361" w14:textId="77777777" w:rsidR="00ED73C6" w:rsidRDefault="000A5DA4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E131" w14:textId="77777777" w:rsidR="00ED73C6" w:rsidRDefault="000A5DA4">
            <w:r>
              <w:t>0.0</w:t>
            </w:r>
          </w:p>
        </w:tc>
      </w:tr>
      <w:tr w:rsidR="00ED73C6" w14:paraId="08BAF711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355F" w14:textId="77777777" w:rsidR="00ED73C6" w:rsidRDefault="000A5DA4">
            <w:r>
              <w:t>Variables de calendario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71BA" w14:textId="77777777" w:rsidR="00ED73C6" w:rsidRDefault="000A5DA4">
            <w:r>
              <w:t>float x5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BBD8" w14:textId="77777777" w:rsidR="00ED73C6" w:rsidRDefault="000A5DA4">
            <w:r>
              <w:t>year, mes, trimestre, es_verano, es_navidad — indicadores de estacionalidad y patrones anuales.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2E0E" w14:textId="77777777" w:rsidR="00ED73C6" w:rsidRDefault="000A5DA4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87BC" w14:textId="77777777" w:rsidR="00ED73C6" w:rsidRDefault="000A5DA4">
            <w:r>
              <w:t>0.0</w:t>
            </w:r>
          </w:p>
        </w:tc>
      </w:tr>
      <w:tr w:rsidR="00ED73C6" w14:paraId="7F00CEC8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EA65" w14:textId="77777777" w:rsidR="00ED73C6" w:rsidRDefault="000A5DA4">
            <w:r>
              <w:t>Variables autoregresivas y de tendencia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E667" w14:textId="77777777" w:rsidR="00ED73C6" w:rsidRDefault="000A5DA4">
            <w:r>
              <w:t>float x6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E2B8" w14:textId="77777777" w:rsidR="00ED73C6" w:rsidRDefault="000A5DA4">
            <w:r>
              <w:t>precio_lag_1, precio_lag_3, precio_lag_12 (retardos del precio) y variacion_mensual, media_movil_3, media_movil_12 (medias móviles) — persistencia a corto, medio y largo plazo.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9CDE" w14:textId="77777777" w:rsidR="00ED73C6" w:rsidRDefault="000A5DA4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930A" w14:textId="77777777" w:rsidR="00ED73C6" w:rsidRDefault="000A5DA4">
            <w:r>
              <w:t>0.0</w:t>
            </w:r>
          </w:p>
        </w:tc>
      </w:tr>
      <w:tr w:rsidR="00ED73C6" w14:paraId="41F386F8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C950" w14:textId="77777777" w:rsidR="00ED73C6" w:rsidRDefault="000A5DA4">
            <w:r>
              <w:t>Indicadores de inflación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E93D" w14:textId="77777777" w:rsidR="00ED73C6" w:rsidRDefault="000A5DA4">
            <w:r>
              <w:t>float x6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A791" w14:textId="77777777" w:rsidR="00ED73C6" w:rsidRDefault="000A5DA4">
            <w:r>
              <w:t>hicp_all_es_lag1, hicp_dairy_es_lag1, hicp_energy_es_lag1 (índices armonizados FRED) e ipc_alimentos_lag1, ipc_general_lag1, ipc_vivienda_energia_lag1 (IPC del INE), todos retardados un mes.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60C9" w14:textId="77777777" w:rsidR="00ED73C6" w:rsidRDefault="000A5DA4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C335" w14:textId="77777777" w:rsidR="00ED73C6" w:rsidRDefault="000A5DA4">
            <w:r>
              <w:t>0.0</w:t>
            </w:r>
          </w:p>
        </w:tc>
      </w:tr>
      <w:tr w:rsidR="00ED73C6" w14:paraId="37FE7875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B335" w14:textId="77777777" w:rsidR="00ED73C6" w:rsidRDefault="000A5DA4">
            <w:r>
              <w:t>Índices agrarios del MAPA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CD4B" w14:textId="77777777" w:rsidR="00ED73C6" w:rsidRDefault="000A5DA4">
            <w:r>
              <w:t>float x10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BCAC" w14:textId="77777777" w:rsidR="00ED73C6" w:rsidRDefault="000A5DA4">
            <w:r>
              <w:t>Índices de precios percibidos y medias móviles (…_lag1) de leche, cereales, cultivos forrajeros, leguminosas de pienso, ganado y vacuno para abasto — costes productivos de la cadena láctea.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C0DE" w14:textId="77777777" w:rsidR="00ED73C6" w:rsidRDefault="000A5DA4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C8D5" w14:textId="77777777" w:rsidR="00ED73C6" w:rsidRDefault="000A5DA4">
            <w:r>
              <w:t>0.0</w:t>
            </w:r>
          </w:p>
        </w:tc>
      </w:tr>
      <w:tr w:rsidR="00ED73C6" w14:paraId="58A9C9E2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FB9E" w14:textId="77777777" w:rsidR="00ED73C6" w:rsidRDefault="000A5DA4">
            <w:r>
              <w:lastRenderedPageBreak/>
              <w:t>Precios percibidos por los ganaderos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B171" w14:textId="77777777" w:rsidR="00ED73C6" w:rsidRDefault="000A5DA4">
            <w:r>
              <w:t>float x4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1C1C" w14:textId="77777777" w:rsidR="00ED73C6" w:rsidRDefault="000A5DA4">
            <w:r>
              <w:t>mapa_preper5 leche de vaca/oveja/cabra (EUR/100 L) y mapa_preper6 vacas paridas (EUR/100 kg vivo), retardados un mes — presión de costes en explotación.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32C5" w14:textId="77777777" w:rsidR="00ED73C6" w:rsidRDefault="000A5DA4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65D0" w14:textId="77777777" w:rsidR="00ED73C6" w:rsidRDefault="000A5DA4">
            <w:r>
              <w:t>0.0</w:t>
            </w:r>
          </w:p>
        </w:tc>
      </w:tr>
      <w:tr w:rsidR="00ED73C6" w14:paraId="5995F35E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BD8B" w14:textId="77777777" w:rsidR="00ED73C6" w:rsidRDefault="000A5DA4">
            <w:r>
              <w:t>model_key / threshold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3A30" w14:textId="77777777" w:rsidR="00ED73C6" w:rsidRDefault="000A5DA4">
            <w:r>
              <w:t>str / 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2239" w14:textId="77777777" w:rsidR="00ED73C6" w:rsidRDefault="000A5DA4">
            <w:r>
              <w:t>Aceptados por la firma del endpoint pero ignorados por este plugin: no hay selección de umbral.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B5EE" w14:textId="77777777" w:rsidR="00ED73C6" w:rsidRDefault="000A5DA4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4167" w14:textId="77777777" w:rsidR="00ED73C6" w:rsidRDefault="000A5DA4">
            <w:r>
              <w:t>None</w:t>
            </w:r>
          </w:p>
        </w:tc>
      </w:tr>
      <w:tr w:rsidR="00ED73C6" w14:paraId="12057FB9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4D04" w14:textId="77777777" w:rsidR="00ED73C6" w:rsidRDefault="000A5DA4">
            <w:r>
              <w:t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738F" w14:textId="77777777" w:rsidR="00ED73C6" w:rsidRDefault="000A5DA4">
            <w:r>
              <w:t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1E5F" w14:textId="77777777" w:rsidR="00ED73C6" w:rsidRDefault="000A5DA4">
            <w:r>
              <w:t>En predict/batch: si se indica, carga un bundle GRU reentrenado por el usuario desde MLflow en vez del artefacto fijo. En train: obligatorio, identifica el run donde se persiste el GRU reentrenado.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1228" w14:textId="77777777" w:rsidR="00ED73C6" w:rsidRDefault="000A5DA4">
            <w:r>
              <w:t>No en predict; Sí en train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54BC" w14:textId="77777777" w:rsidR="00ED73C6" w:rsidRDefault="000A5DA4">
            <w:r>
              <w:t>"" (predict) / - (train)</w:t>
            </w:r>
          </w:p>
        </w:tc>
      </w:tr>
      <w:tr w:rsidR="00ED73C6" w14:paraId="3763AA7E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A45C" w14:textId="77777777" w:rsidR="00ED73C6" w:rsidRDefault="000A5DA4">
            <w:r>
              <w:t>data_path (modo train)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5A8D" w14:textId="77777777" w:rsidR="00ED73C6" w:rsidRDefault="000A5DA4">
            <w:r>
              <w:t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BA40" w14:textId="77777777" w:rsidR="00ED73C6" w:rsidRDefault="000A5DA4">
            <w:r>
              <w:t>CSV con el mismo contrato que dataset_forecast_ready.csv: fecha, producto, canal, target_precio_medio y las columnas exógenas (lags, medias móviles, HICP/IPC/MAPA)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F9CD" w14:textId="77777777" w:rsidR="00ED73C6" w:rsidRDefault="000A5DA4">
            <w:r>
              <w:t>Sí (modo train)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EB10" w14:textId="77777777" w:rsidR="00ED73C6" w:rsidRDefault="000A5DA4">
            <w:r>
              <w:t>-</w:t>
            </w:r>
          </w:p>
        </w:tc>
      </w:tr>
    </w:tbl>
    <w:p w14:paraId="2301E228" w14:textId="43111ADC" w:rsidR="00ED73C6" w:rsidRDefault="00D12B9E" w:rsidP="00D12B9E">
      <w:pPr>
        <w:pStyle w:val="Caption"/>
        <w:jc w:val="center"/>
      </w:pPr>
      <w:bookmarkStart w:id="4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4"/>
    </w:p>
    <w:p w14:paraId="1A4DD035" w14:textId="77777777" w:rsidR="00ED73C6" w:rsidRPr="00D12B9E" w:rsidRDefault="000A5DA4" w:rsidP="00D12B9E">
      <w:pPr>
        <w:pStyle w:val="Heading1"/>
        <w:jc w:val="left"/>
      </w:pPr>
      <w:bookmarkStart w:id="5" w:name="_Toc233977725"/>
      <w:r>
        <w:t>3. Campos de salida (outputs)</w:t>
      </w:r>
      <w:bookmarkEnd w:id="5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w14:paraId="74C19D16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3328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5E52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52FF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C6FF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ED9E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w14:paraId="4B6C9425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C6A4" w14:textId="77777777" w:rsidR="00ED73C6" w:rsidRDefault="000A5DA4">
            <w:r>
              <w:t>prediction (inline) / y_pred (batch)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F47" w14:textId="77777777" w:rsidR="00ED73C6" w:rsidRDefault="000A5DA4">
            <w:r>
              <w:t>float (EUR/L)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E7E" w14:textId="77777777" w:rsidR="00ED73C6" w:rsidRDefault="000A5DA4">
            <w:r>
              <w:t>Precio medio mensual estimado de leche líquida a 6 meses vista, redondeado a 4 decimales.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099" w14:textId="77777777" w:rsidR="00ED73C6" w:rsidRDefault="000A5DA4">
            <w:r>
              <w:t>Continuo positivo; el histórico observado se sitúa en 0,65–1,12 EUR/L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DBEB" w14:textId="77777777" w:rsidR="00ED73C6" w:rsidRDefault="000A5DA4">
            <w:r>
              <w:t xml:space="preserve">Se compara con el precio actual (current_price) para inferir subida, </w:t>
            </w:r>
            <w:r>
              <w:lastRenderedPageBreak/>
              <w:t>estabilidad o caída esperada del precio a medio plazo.</w:t>
            </w:r>
          </w:p>
        </w:tc>
      </w:tr>
      <w:tr w:rsidR="00ED73C6" w14:paraId="456D11DD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69FC" w14:textId="77777777" w:rsidR="00ED73C6" w:rsidRDefault="000A5DA4">
            <w:r>
              <w:t>horizon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A398" w14:textId="77777777" w:rsidR="00ED73C6" w:rsidRDefault="000A5DA4">
            <w:r>
              <w:t>int (meses)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B6CA" w14:textId="77777777" w:rsidR="00ED73C6" w:rsidRDefault="000A5DA4">
            <w:r>
              <w:t>Horizonte de la predicción, fijado por el manifest.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428A" w14:textId="77777777" w:rsidR="00ED73C6" w:rsidRDefault="000A5DA4">
            <w:r>
              <w:t>6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9C32" w14:textId="77777777" w:rsidR="00ED73C6" w:rsidRDefault="000A5DA4">
            <w:r>
              <w:t>Todas las predicciones se refieren a 6 meses después del instante de predicción.</w:t>
            </w:r>
          </w:p>
        </w:tc>
      </w:tr>
      <w:tr w:rsidR="00ED73C6" w14:paraId="593D18EB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341D" w14:textId="77777777" w:rsidR="00ED73C6" w:rsidRDefault="000A5DA4">
            <w:r>
              <w:t>features_used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F46F" w14:textId="77777777" w:rsidR="00ED73C6" w:rsidRDefault="000A5DA4">
            <w:r>
              <w:t>list[str]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0D22" w14:textId="77777777" w:rsidR="00ED73C6" w:rsidRDefault="000A5DA4">
            <w:r>
              <w:t>Lista de las variables efectivas empleadas, según feature_cols del manifest.json del artefacto.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9DC8" w14:textId="77777777" w:rsidR="00ED73C6" w:rsidRDefault="000A5DA4">
            <w:r>
              <w:t>hasta 32 nombres de variable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BF9E" w14:textId="77777777" w:rsidR="00ED73C6" w:rsidRDefault="000A5DA4">
            <w:r>
              <w:t>Documenta qué conjunto exacto de variables activó el modelo cargado; consumido también por el servicio XAI.</w:t>
            </w:r>
          </w:p>
        </w:tc>
      </w:tr>
      <w:tr w:rsidR="00ED73C6" w14:paraId="47149E3E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C76A" w14:textId="77777777" w:rsidR="00ED73C6" w:rsidRDefault="000A5DA4">
            <w:r>
              <w:t>model_version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F165" w14:textId="77777777" w:rsidR="00ED73C6" w:rsidRDefault="000A5DA4">
            <w:r>
              <w:t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78E5" w14:textId="77777777" w:rsidR="00ED73C6" w:rsidRDefault="000A5DA4">
            <w:r>
              <w:t>Versión del artefacto de modelo.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D4CA" w14:textId="77777777" w:rsidR="00ED73C6" w:rsidRDefault="000A5DA4">
            <w:r>
              <w:t>1.0.0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1CEE" w14:textId="77777777" w:rsidR="00ED73C6" w:rsidRDefault="000A5DA4">
            <w:r>
              <w:t>Trazabilidad del artefacto usado en la inferencia.</w:t>
            </w:r>
          </w:p>
        </w:tc>
      </w:tr>
      <w:tr w:rsidR="00ED73C6" w14:paraId="018EEA8C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8ACF" w14:textId="77777777" w:rsidR="00ED73C6" w:rsidRDefault="000A5DA4">
            <w:r>
              <w:t>confidence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22AF" w14:textId="77777777" w:rsidR="00ED73C6" w:rsidRDefault="000A5DA4">
            <w:r>
              <w:t>float | None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543D" w14:textId="77777777" w:rsidR="00ED73C6" w:rsidRDefault="000A5DA4">
            <w:r>
              <w:t>Nivel de confianza de la predicción.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78A3" w14:textId="77777777" w:rsidR="00ED73C6" w:rsidRDefault="000A5DA4">
            <w:r>
              <w:t>Siempre None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BBD7" w14:textId="77777777" w:rsidR="00ED73C6" w:rsidRDefault="000A5DA4">
            <w:r>
              <w:t>El modelo no expone una medida de incertidumbre por predicción.</w:t>
            </w:r>
          </w:p>
        </w:tc>
      </w:tr>
      <w:tr w:rsidR="00ED73C6" w14:paraId="10A840B9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9C41" w14:textId="77777777" w:rsidR="00ED73C6" w:rsidRDefault="000A5DA4">
            <w:r>
              <w:t>xai_feature_values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4793" w14:textId="77777777" w:rsidR="00ED73C6" w:rsidRDefault="000A5DA4">
            <w:r>
              <w:t>dict | None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AF2A" w14:textId="77777777" w:rsidR="00ED73C6" w:rsidRDefault="000A5DA4">
            <w:r>
              <w:t>Valores numéricos de las features usadas en la predicción.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B326" w14:textId="77777777" w:rsidR="00ED73C6" w:rsidRDefault="000A5DA4">
            <w:r>
              <w:t>{feature: valor}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B14A" w14:textId="77777777" w:rsidR="00ED73C6" w:rsidRDefault="000A5DA4">
            <w:r>
              <w:t>Insumo para el servicio de explicabilidad (XAI); no altera la predicción.</w:t>
            </w:r>
          </w:p>
        </w:tc>
      </w:tr>
    </w:tbl>
    <w:p w14:paraId="3CB96C1C" w14:textId="58E5926D" w:rsidR="00ED73C6" w:rsidRDefault="00D12B9E" w:rsidP="00D12B9E">
      <w:pPr>
        <w:pStyle w:val="Caption"/>
        <w:jc w:val="center"/>
      </w:pPr>
      <w:bookmarkStart w:id="6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6"/>
    </w:p>
    <w:p w14:paraId="30754C35" w14:textId="77777777" w:rsidR="00ED73C6" w:rsidRPr="00D12B9E" w:rsidRDefault="000A5DA4" w:rsidP="00D12B9E">
      <w:pPr>
        <w:pStyle w:val="Heading1"/>
        <w:jc w:val="left"/>
      </w:pPr>
      <w:bookmarkStart w:id="7" w:name="_Toc233977726"/>
      <w:r>
        <w:lastRenderedPageBreak/>
        <w:t>4. Métricas de evaluación</w:t>
      </w:r>
      <w:bookmarkEnd w:id="7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w14:paraId="663A768A" w14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6586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81B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8704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6AD0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w14:paraId="66471ED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7871" w14:textId="77777777" w:rsidR="00ED73C6" w:rsidRDefault="000A5DA4">
            <w:r>
              <w:t>RMSE (test hold-out, media 3 semillas)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665D" w14:textId="77777777" w:rsidR="00ED73C6" w:rsidRDefault="000A5DA4">
            <w:r>
              <w:t>0,0226 ± 0,0086 EUR/L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B30F" w14:textId="77777777" w:rsidR="00ED73C6" w:rsidRDefault="000A5DA4">
            <w:r>
              <w:t>Raíz del error cuadrático medio, media multi-semilla (3 semillas) en el test hold-out (último 10% de fechas) — bloque "GRU" de final_test_metrics.json. NO es el artefacto realmente servido (ver entrada 'artefacto servido' mas abajo).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25E8" w14:textId="77777777" w:rsidR="00ED73C6" w:rsidRDefault="000A5DA4">
            <w:r>
              <w:t>El error cuadrático típico del precio predicho es de poco más de 2 céntimos por litro</w:t>
            </w:r>
          </w:p>
        </w:tc>
      </w:tr>
      <w:tr w:rsidR="00ED73C6" w14:paraId="13296989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AEB5" w14:textId="77777777" w:rsidR="00ED73C6" w:rsidRDefault="000A5DA4">
            <w:r>
              <w:t>MAE (test hold-out, media 3 semillas)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23C2" w14:textId="77777777" w:rsidR="00ED73C6" w:rsidRDefault="000A5DA4">
            <w:r>
              <w:t>0,0177 ± 0,0067 EUR/L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8053" w14:textId="77777777" w:rsidR="00ED73C6" w:rsidRDefault="000A5DA4">
            <w:r>
              <w:t>Error absoluto medio en el test hold-out — bloque "GRU" de final_test_metrics.json. NO es el artefacto realmente servido (ver entrada 'artefacto servido' mas abajo).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C87E" w14:textId="77777777" w:rsidR="00ED73C6" w:rsidRDefault="000A5DA4">
            <w:r>
              <w:t>De media, la predicción se desvía menos de 2 céntimos por litro del precio real</w:t>
            </w:r>
          </w:p>
        </w:tc>
      </w:tr>
      <w:tr w:rsidR="00ED73C6" w14:paraId="69191EF5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657E" w14:textId="77777777" w:rsidR="00ED73C6" w:rsidRDefault="000A5DA4">
            <w:r>
              <w:t>MAPE (test hold-out, media 3 semillas)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5981" w14:textId="77777777" w:rsidR="00ED73C6" w:rsidRDefault="000A5DA4">
            <w:r>
              <w:t>1,78% ± 0,69%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95B0" w14:textId="77777777" w:rsidR="00ED73C6" w:rsidRDefault="000A5DA4">
            <w:r>
              <w:t>Error porcentual absoluto medio en el test hold-out — bloque "GRU" de final_test_metrics.json. NO es el artefacto realmente servido (ver entrada 'artefacto servido' mas abajo).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4306" w14:textId="77777777" w:rsidR="00ED73C6" w:rsidRDefault="000A5DA4">
            <w:r>
              <w:t>Exactitud efectiva media ~98,22%, por encima del KPI del 85%</w:t>
            </w:r>
          </w:p>
        </w:tc>
      </w:tr>
      <w:tr w:rsidR="00ED73C6" w14:paraId="01DC7C3D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9EDC" w14:textId="77777777" w:rsidR="00ED73C6" w:rsidRDefault="000A5DA4">
            <w:r>
              <w:lastRenderedPageBreak/>
              <w:t>R² (test hold-out, media 3 semillas)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0914" w14:textId="77777777" w:rsidR="00ED73C6" w:rsidRDefault="000A5DA4">
            <w:r>
              <w:t>0,7957 ± 0,1535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3614" w14:textId="77777777" w:rsidR="00ED73C6" w:rsidRDefault="000A5DA4">
            <w:r>
              <w:t>Proporción de varianza explicada en el test hold-out — bloque "GRU" de final_test_metrics.json. NO es el artefacto realmente servido (ver entrada 'artefacto servido' mas abajo).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9A19" w14:textId="77777777" w:rsidR="00ED73C6" w:rsidRDefault="000A5DA4">
            <w:r>
              <w:t>El modelo explica de media el ~79,6% de la varianza del precio, con variabilidad entre semillas</w:t>
            </w:r>
          </w:p>
        </w:tc>
      </w:tr>
      <w:tr w:rsidR="00ED73C6" w14:paraId="2E39938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EAC2" w14:textId="77777777" w:rsidR="00ED73C6" w:rsidRDefault="000A5DA4">
            <w:r>
              <w:t>Direction Accuracy (test hold-out, media 3 semillas)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C99A" w14:textId="77777777" w:rsidR="00ED73C6" w:rsidRDefault="000A5DA4">
            <w:r>
              <w:t>93,2% ± 2,0%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0177" w14:textId="77777777" w:rsidR="00ED73C6" w:rsidRDefault="000A5DA4">
            <w:r>
              <w:t>Acierto en la dirección del cambio de precio en test (objetivo declarado &gt; 60%) — bloque "GRU" de final_test_metrics.json. NO es el artefacto realmente servido (ver entrada 'artefacto servido' mas abajo).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136A" w14:textId="77777777" w:rsidR="00ED73C6" w:rsidRDefault="000A5DA4">
            <w:r>
              <w:t>Acierta si el precio subirá o bajará en más de 9 de cada 10 casos</w:t>
            </w:r>
          </w:p>
        </w:tc>
      </w:tr>
      <w:tr w:rsidR="00ED73C6" w14:paraId="4C6F38EC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DA4A" w14:textId="77777777" w:rsidR="00ED73C6" w:rsidRDefault="000A5DA4">
            <w:r>
              <w:t>MAE (artefacto servido, gru_model.pt seed=42)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3BD2" w14:textId="77777777" w:rsidR="00ED73C6" w:rsidRDefault="000A5DA4">
            <w:r>
              <w:t>0,0135 EUR/L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D9B4" w14:textId="77777777" w:rsidR="00ED73C6" w:rsidRDefault="000A5DA4">
            <w:r>
              <w:t>Bloque "GRU_artifact_metrics" de final_test_metrics.json — metrica real del unico artefacto desplegado (seleccionado por best_seed_by_validation_rmse), no la media de las 3 semillas evaluadas.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B63F" w14:textId="77777777" w:rsidR="00ED73C6" w:rsidRDefault="000A5DA4">
            <w:r>
              <w:t>El artefacto que de verdad responde en produccion es mejor que la media reportada: error medio de 1,35 centimos/L, no 1,77.</w:t>
            </w:r>
          </w:p>
        </w:tc>
      </w:tr>
      <w:tr w:rsidR="00ED73C6" w14:paraId="6AF9C2E3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8BC0" w14:textId="77777777" w:rsidR="00ED73C6" w:rsidRDefault="000A5DA4">
            <w:r>
              <w:lastRenderedPageBreak/>
              <w:t>RMSE (artefacto servido, gru_model.pt seed=42)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32AC" w14:textId="77777777" w:rsidR="00ED73C6" w:rsidRDefault="000A5DA4">
            <w:r>
              <w:t>0,0170 EUR/L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B5DF" w14:textId="77777777" w:rsidR="00ED73C6" w:rsidRDefault="000A5DA4">
            <w:r>
              <w:t>Bloque "GRU_artifact_metrics" de final_test_metrics.json.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E721" w14:textId="77777777" w:rsidR="00ED73C6" w:rsidRDefault="000A5DA4">
            <w:r>
              <w:t>Consistente con el MAE: el artefacto servido tiene menor error que la media multi-semilla.</w:t>
            </w:r>
          </w:p>
        </w:tc>
      </w:tr>
      <w:tr w:rsidR="00ED73C6" w14:paraId="6C824B68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7FDF" w14:textId="77777777" w:rsidR="00ED73C6" w:rsidRDefault="000A5DA4">
            <w:r>
              <w:t>R² (artefacto servido, gru_model.pt seed=42)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35CD" w14:textId="77777777" w:rsidR="00ED73C6" w:rsidRDefault="000A5DA4">
            <w:r>
              <w:t>0,899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BE42" w14:textId="77777777" w:rsidR="00ED73C6" w:rsidRDefault="000A5DA4">
            <w:r>
              <w:t>Bloque "GRU_artifact_metrics" de final_test_metrics.json.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BA14" w14:textId="77777777" w:rsidR="00ED73C6" w:rsidRDefault="000A5DA4">
            <w:r>
              <w:t>El artefacto servido explica ~89,9% de la varianza del precio, notablemente por encima del 79,6% de la media multi-semilla.</w:t>
            </w:r>
          </w:p>
        </w:tc>
      </w:tr>
      <w:tr w:rsidR="00ED73C6" w14:paraId="226EB3DB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D32F" w14:textId="77777777" w:rsidR="00ED73C6" w:rsidRDefault="000A5DA4">
            <w:r>
              <w:t>RMSE baseline Naive (test)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9C67" w14:textId="77777777" w:rsidR="00ED73C6" w:rsidRDefault="000A5DA4">
            <w:r>
              <w:t>0,0295 EUR/L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C53A" w14:textId="77777777" w:rsidR="00ED73C6" w:rsidRDefault="000A5DA4">
            <w:r>
              <w:t>Referencia de persistencia (precio futuro = precio actual) en test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298C" w14:textId="77777777" w:rsidR="00ED73C6" w:rsidRDefault="000A5DA4">
            <w:r>
              <w:t>El GRU mejora ~23,3% el RMSE del baseline, confirmando capacidad predictiva real más allá de la persistencia</w:t>
            </w:r>
          </w:p>
        </w:tc>
      </w:tr>
      <w:tr w:rsidR="00ED73C6" w14:paraId="29BEF118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A3CA" w14:textId="77777777" w:rsidR="00ED73C6" w:rsidRDefault="000A5DA4">
            <w:r>
              <w:t>RMSE (validación cruzada temporal)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3DF3" w14:textId="77777777" w:rsidR="00ED73C6" w:rsidRDefault="000A5DA4">
            <w:r>
              <w:t>0,0263 ± 0,0074 EUR/L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4447" w14:textId="77777777" w:rsidR="00ED73C6" w:rsidRDefault="000A5DA4">
            <w:r>
              <w:t>RMSE medio en validación cruzada walk-forward de 5 folds (métrica de selección del modelo, frente a Naive CV 0,0492)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500E" w14:textId="77777777" w:rsidR="00ED73C6" w:rsidRDefault="000A5DA4">
            <w:r>
              <w:t>Métrica prioritaria que seleccionó GRU frente a LSTM (0,0288) y XGBoost (0,0453)</w:t>
            </w:r>
          </w:p>
        </w:tc>
      </w:tr>
      <w:tr w:rsidR="00ED73C6" w14:paraId="2461426D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EE8D" w14:textId="77777777" w:rsidR="00ED73C6" w:rsidRDefault="000A5DA4">
            <w:r>
              <w:t>Direction Accuracy (validación cruzada)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5FFA" w14:textId="77777777" w:rsidR="00ED73C6" w:rsidRDefault="000A5DA4">
            <w:r>
              <w:t>82,56% ± 10,29%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E1F8" w14:textId="77777777" w:rsidR="00ED73C6" w:rsidRDefault="000A5DA4">
            <w:r>
              <w:t>Acierto direccional medio en validación cruzada temporal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D383" w14:textId="77777777" w:rsidR="00ED73C6" w:rsidRDefault="000A5DA4">
            <w:r>
              <w:t xml:space="preserve">La mayor de las arquitecturas evaluadas; mayor variabilidad entre folds por la heterogeneidad </w:t>
            </w:r>
            <w:r>
              <w:lastRenderedPageBreak/>
              <w:t>temporal (shock de precios de 2022)</w:t>
            </w:r>
          </w:p>
        </w:tc>
      </w:tr>
      <w:tr w:rsidR="00ED73C6" w14:paraId="0528E4A2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1090" w14:textId="77777777" w:rsidR="00ED73C6" w:rsidRDefault="000A5DA4">
            <w:r>
              <w:t>Correctitud post-integración de train() (verification_report.md, Ciclo 2)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2A4B" w14:textId="77777777" w:rsidR="00ED73C6" w:rsidRDefault="000A5DA4">
            <w:r>
              <w:t>mae=0,0135 rmse=0,017 r2=0,8994 direction_acc=90,6% (dataset real completo, 1.440 filas)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721C" w14:textId="77777777" w:rsidR="00ED73C6" w:rsidRDefault="000A5DA4">
            <w:r>
              <w:t>Refit real ejecutado end-to-end sobre el dataset de entrenamiento completo — coincide a 4+ decimales con las métricas del artefacto servido (fila 'artefacto servido' de arriba)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8778" w14:textId="77777777" w:rsidR="00ED73C6" w:rsidRDefault="000A5DA4">
            <w:r>
              <w:t>Confirma que el procedimiento de reentrenamiento portado al plugin reproduce exactamente el original, no una aproximación</w:t>
            </w:r>
          </w:p>
        </w:tc>
      </w:tr>
    </w:tbl>
    <w:p w14:paraId="1A7F9A77" w14:textId="4488DBEE" w:rsidR="00ED73C6" w:rsidRDefault="00D12B9E" w:rsidP="00D12B9E">
      <w:pPr>
        <w:pStyle w:val="Caption"/>
        <w:jc w:val="center"/>
      </w:pPr>
      <w:bookmarkStart w:id="8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8"/>
    </w:p>
    <w:p w14:paraId="2C5581FA" w14:textId="77777777" w:rsidR="00ED73C6" w:rsidRPr="00D12B9E" w:rsidRDefault="000A5DA4" w:rsidP="00D12B9E">
      <w:pPr>
        <w:pStyle w:val="Heading1"/>
        <w:jc w:val="left"/>
      </w:pPr>
      <w:bookmarkStart w:id="9" w:name="_Toc233977727"/>
      <w:r>
        <w:t>5. Limitaciones conocidas</w:t>
      </w:r>
      <w:bookmarkEnd w:id="9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w14:paraId="5ACF6CCD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16E1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A562" w14:textId="77777777" w:rsidR="00ED73C6" w:rsidRDefault="000A5DA4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w14:paraId="221304F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9EF2" w14:textId="77777777" w:rsidR="00ED73C6" w:rsidRDefault="000A5DA4">
            <w:r>
              <w:t>Histórico corto y pocas series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7A63" w14:textId="77777777" w:rsidR="00ED73C6" w:rsidRDefault="000A5DA4">
            <w:r>
              <w:t>El dataset final tiene 1.440 observaciones (16 series producto × canal, junio 2018 – noviembre 2025, ~7,5 años mensuales). Es suficiente para ciclos estacionales anuales, pero limitado para observar varios ciclos económicos completos y no permite escalar a arquitecturas más profundas sin riesgo de sobreajuste.</w:t>
            </w:r>
          </w:p>
        </w:tc>
      </w:tr>
      <w:tr w:rsidR="00ED73C6" w14:paraId="477EE11F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CCC2" w14:textId="77777777" w:rsidR="00ED73C6" w:rsidRDefault="000A5DA4">
            <w:r>
              <w:t>Sensibilidad a la inicialización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E0E7" w14:textId="77777777" w:rsidR="00ED73C6" w:rsidRDefault="000A5DA4">
            <w:r>
              <w:t>Las métricas oficiales se reportan como media de 3 semillas por la variabilidad de inicialización. Una de las semillas obtuvo en test RMSE=0,0348 EUR/L, superior al baseline Naive, lo que evidencia sensibilidad a la semilla y refuerza la necesidad de monitorización en producción.</w:t>
            </w:r>
          </w:p>
        </w:tc>
      </w:tr>
      <w:tr w:rsidR="00ED73C6" w14:paraId="5D602BBC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4EFB" w14:textId="77777777" w:rsidR="00ED73C6" w:rsidRDefault="000A5DA4">
            <w:r>
              <w:t>Rendimiento ligado al régimen de mercado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E287" w14:textId="77777777" w:rsidR="00ED73C6" w:rsidRDefault="000A5DA4">
            <w:r>
              <w:t>El test hold-out corresponde a un tramo temporal reciente y estable (2024-10 a 2025-05). No garantiza el mismo nivel de precisión en regímenes volátiles no observados; los folds de validación que cubren el shock de precios de 2022 son sensiblemente más difíciles de predecir.</w:t>
            </w:r>
          </w:p>
        </w:tc>
      </w:tr>
      <w:tr w:rsidR="00ED73C6" w14:paraId="7F6F8D7F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AB34" w14:textId="77777777" w:rsidR="00ED73C6" w:rsidRDefault="000A5DA4">
            <w:r>
              <w:lastRenderedPageBreak/>
              <w:t>Precio objetivo estimado, no transaccional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D6E9" w14:textId="77777777" w:rsidR="00ED73C6" w:rsidRDefault="000A5DA4">
            <w:r>
              <w:t>El precio medio se estima a partir de histogramas de distribución publicados por el MAPA, no de transacciones directas; introduce agregación y suavizado. Los informes del MAPA desde enero de 2024 usan el censo de población 2021 del INE, lo que puede introducir ligeras discontinuidades metodológicas.</w:t>
            </w:r>
          </w:p>
        </w:tc>
      </w:tr>
      <w:tr w:rsidR="00ED73C6" w14:paraId="0EE1698F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2DDB" w14:textId="77777777" w:rsidR="00ED73C6" w:rsidRDefault="000A5DA4">
            <w:r>
              <w:t>Frecuencia mensual y dependencia de exógenas completas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19FA" w14:textId="77777777" w:rsidR="00ED73C6" w:rsidRDefault="000A5DA4">
            <w:r>
              <w:t>La resolución mensual impide capturar shocks intramensuales. La inferencia requiere que las exógenas (INE/FRED/MAPA) del último mes estén publicadas y completas; no deben imputarse silenciosamente datos futuros, y si se arrastra el último valor la salida debe marcarse como estimación provisional.</w:t>
            </w:r>
          </w:p>
        </w:tc>
      </w:tr>
      <w:tr w:rsidR="00ED73C6" w14:paraId="19CB8A86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4F57" w14:textId="77777777" w:rsidR="00ED73C6" w:rsidRDefault="000A5DA4">
            <w:r>
              <w:t>Sin señales comerciales micro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A5E0" w14:textId="77777777" w:rsidR="00ED73C6" w:rsidRDefault="000A5DA4">
            <w:r>
              <w:t>No incorpora promociones, cambios de estrategia de precios de las cadenas, variaciones de demanda por segmento ni tendencias de sustitución (intolerancia a la lactosa, alternativas vegetales), lo que limita la precisión en periodos de cambio estructural del consumo.</w:t>
            </w:r>
          </w:p>
        </w:tc>
      </w:tr>
      <w:tr w:rsidR="00ED73C6" w14:paraId="310607E0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EBCE" w14:textId="77777777" w:rsidR="00ED73C6" w:rsidRDefault="000A5DA4">
            <w:r>
              <w:t>Cobertura geográfica España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0F5B" w14:textId="77777777" w:rsidR="00ED73C6" w:rsidRDefault="000A5DA4">
            <w:r>
              <w:t>El modelo se limita al mercado español agregado a nivel nacional; los resultados no son directamente extrapolables a otros mercados.</w:t>
            </w:r>
          </w:p>
        </w:tc>
      </w:tr>
      <w:tr w:rsidR="00ED73C6" w14:paraId="10ACDBFB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F2D7" w14:textId="77777777" w:rsidR="00ED73C6" w:rsidRDefault="000A5DA4">
            <w:r>
              <w:t>Reentrenamiento: solo refit de la arquitectura ya seleccionada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137A" w14:textId="77777777" w:rsidR="00ED73C6" w:rsidRDefault="000A5DA4">
            <w:r>
              <w:t>train() reentrena (refit) la red GRU ya elegida como mejor modelo, pero no repite la búsqueda completa que comparó GRU frente a LSTM/XGBoost/baselines — si los datos nuevos cambiaran sustancialmente qué arquitectura es la óptima, eso requiere un ciclo de comparación completo fuera de este endpoint. Se recomienda reentrenar mensual o trimestralmente con datos oficiales actualizados.</w:t>
            </w:r>
          </w:p>
        </w:tc>
      </w:tr>
    </w:tbl>
    <w:p w14:paraId="23E22C97" w14:textId="02183EA3" w:rsidR="00ED73C6" w:rsidRDefault="00D12B9E" w:rsidP="00D12B9E">
      <w:pPr>
        <w:pStyle w:val="Caption"/>
        <w:jc w:val="center"/>
      </w:pPr>
      <w:bookmarkStart w:id="10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0"/>
    </w:p>
    <w:p w14:paraId="36D55773" w14:textId="77777777" w:rsidR="00ED73C6" w:rsidRPr="00D12B9E" w:rsidRDefault="000A5DA4" w:rsidP="00D12B9E">
      <w:pPr>
        <w:pStyle w:val="Heading1"/>
        <w:jc w:val="left"/>
      </w:pPr>
      <w:bookmarkStart w:id="11" w:name="_Toc233977728"/>
      <w:r>
        <w:t>6. Observaciones técnicas</w:t>
      </w:r>
      <w:bookmarkEnd w:id="11"/>
    </w:p>
    <w:p w14:paraId="3188B244" w14:textId="77777777" w:rsidR="00ED73C6" w:rsidRDefault="000A5DA4" w:rsidP="00D12B9E">
      <w:pPr>
        <w:jc w:val="both"/>
      </w:pPr>
      <w:r>
        <w:t>Arquitectura GRU (PyTorch): input_size=32, hidden_size=64, num_layers=2, dropout=0,3, capa lineal escalar final, ~43.841 parámetros; seq_len=6, horizon=6. El estandarizado usa media/escala congeladas del entrenamiento (rnn_scaler.npz) y el conjunto efectivo de variables lo fija feature_cols del manifest.json del artefacto. Ejecutable en CPU x86-64 (mínimo 2 vCPU), RAM ≥ 4 GB, sin GPU; almacenamiento &lt; 500 MB (artefacto GRU ~174 KB). Entorno de desarrollo Python 3.12; runtime compatible con Python 3.10+. Dep</w:t>
      </w:r>
      <w:r>
        <w:t xml:space="preserve">endencias clave: torch, numpy, pandas. train() soporta reentrenamiento real (refit de la arquitectura GRU ya seleccionada, 3 seeds, ~48s sobre el dataset completo); mlflow_run_id obligatorio en train, el bundle </w:t>
      </w:r>
      <w:r>
        <w:lastRenderedPageBreak/>
        <w:t>reentrenado se sube solo a MLflow, nunca sobrescribe el artefacto base. Monitorización recomendada: reentrenar mensual/trimestral con nuevos datos oficiales completos y alertar si el RMSE observado supera en más del 25% al RMSE de test durante tres meses consecutivos, si la Direction Accuracy acumula</w:t>
      </w:r>
      <w:r>
        <w:t>da cae por debajo del 60%, si aparecen errores sistemáticos por producto/canal o si cambia la metodología de alguna fuente pública.</w:t>
      </w:r>
    </w:p>
    <w:p w14:paraId="642BAC39" w14:textId="77777777" w:rsidR="00ED73C6" w:rsidRDefault="00ED73C6"/>
    <w:p w14:paraId="6AE49187" w14:textId="77777777" w:rsidR="00D12B9E" w:rsidRDefault="00D12B9E"/>
    <w:p w14:paraId="3CCD1455" w14:textId="77777777" w:rsidR="00D12B9E" w:rsidRDefault="00D12B9E"/>
    <w:p w14:paraId="03DFC7FC" w14:textId="77777777" w:rsidR="00D12B9E" w:rsidRDefault="00D12B9E"/>
    <w:p w14:paraId="3E74D38E" w14:textId="77777777" w:rsidR="00D12B9E" w:rsidRDefault="00D12B9E"/>
    <w:p w14:paraId="0B8151BB" w14:textId="77777777" w:rsidR="00D12B9E" w:rsidRDefault="00D12B9E"/>
    <w:p w14:paraId="53E05546" w14:textId="77777777" w:rsidR="00D12B9E" w:rsidRDefault="00D12B9E"/>
    <w:p w14:paraId="7A7AF885" w14:textId="77777777" w:rsidR="00ED73C6" w:rsidRPr="00D12B9E" w:rsidRDefault="000A5DA4" w:rsidP="00D12B9E">
      <w:pPr>
        <w:pStyle w:val="Heading1"/>
        <w:jc w:val="left"/>
      </w:pPr>
      <w:bookmarkStart w:id="12" w:name="_Toc233977729"/>
      <w:r>
        <w:t>7. Fichero de prueba de referencia</w:t>
      </w:r>
      <w:bookmarkEnd w:id="12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14:paraId="7CCEFE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325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93F5" w14:textId="77777777" w:rsidR="00ED73C6" w:rsidRDefault="000A5DA4">
            <w:r>
              <w:t>No se entregó golden dataset ejecutable para verificar la correctitud tras la integración: los tests unitarios del plugin usan mocks. La evaluación oficial de la memoria se realizó sobre el test hold-out del entregable (data/splits/test_h6.csv).</w:t>
            </w:r>
          </w:p>
        </w:tc>
      </w:tr>
      <w:tr w:rsidR="00ED73C6" w14:paraId="183575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FEDB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E928" w14:textId="77777777" w:rsidR="00ED73C6" w:rsidRDefault="000A5DA4">
            <w:r>
              <w:t>Test hold-out = último 10% de fechas únicas (2024-10 a 2025-05) sobre las 16 series producto × canal. La inferencia GRU sobre el dataset procesado completo (dataset_forecast_ready.csv, 1.440 observaciones) genera 1.360 filas: 16 series × 85 ventanas de longitud seq_len=6.</w:t>
            </w:r>
          </w:p>
        </w:tc>
      </w:tr>
      <w:tr w:rsidR="00ED73C6" w14:paraId="1BF4E26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3FC" w14:textId="77777777" w:rsidR="00ED73C6" w:rsidRDefault="000A5DA4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C4A" w14:textId="77777777" w:rsidR="00ED73C6" w:rsidRDefault="000A5DA4">
            <w:r>
              <w:t>Métricas oficiales multi-semilla en test hold-out: RMSE=0,0226±0,0086 EUR/L, MAE=0,0177±0,0067, MAPE=1,78%±0,69%, R²=0,7957±0,1535, Direction Accuracy=93,2%±2,0%; mejora ~23,3% en RMSE frente al baseline Naive (0,0295 EUR/L). La semilla persistida como artefacto de inferencia obtiene en test RMSE=0,0170, MAE=0,0135, MAPE=1,33%, R²=0,8994 y Direction Accuracy=90,6% — reproducido de forma independiente ejecutando train() end-to-end sobre el dataset completo (ver verification_report.md, Ciclo 2).</w:t>
            </w:r>
          </w:p>
        </w:tc>
      </w:tr>
    </w:tbl>
    <w:p w14:paraId="3773E7D0" w14:textId="48983DD0" w:rsidR="00ED73C6" w:rsidRPr="00D12B9E" w:rsidRDefault="00D12B9E" w:rsidP="00D12B9E">
      <w:pPr>
        <w:pStyle w:val="Caption"/>
        <w:jc w:val="center"/>
      </w:pPr>
      <w:bookmarkStart w:id="13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3"/>
    </w:p>
    <w:sectPr w:rsidR="00ED73C6" w:rsidRPr="00D12B9E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64B8A" w14:textId="77777777" w:rsidR="000A5DA4" w:rsidRDefault="000A5DA4">
      <w:pPr>
        <w:spacing w:after="0" w:line="240" w:lineRule="auto"/>
      </w:pPr>
      <w:r>
        <w:separator/>
      </w:r>
    </w:p>
  </w:endnote>
  <w:endnote w:type="continuationSeparator" w:id="0">
    <w:p w14:paraId="1E393CBB" w14:textId="77777777" w:rsidR="000A5DA4" w:rsidRDefault="000A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C722AD0C-EDD5-401E-8D1A-0CBB58B3E191}"/>
    <w:embedBold r:id="rId2" w:fontKey="{BCFEC016-65B6-44F9-8A22-A2AF92C264CB}"/>
    <w:embedBoldItalic r:id="rId3" w:fontKey="{017A8B61-33E6-42F1-B23E-38CDA530408F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99B64F07-A363-4C6E-981F-24945294E97E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96680C76-AE35-4C68-8CC8-335808214A9E}"/>
    <w:embedBold r:id="rId6" w:fontKey="{D921C203-96A5-486E-ACB5-D18EA8D58FA9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2DE5EA65-D93C-40D1-A275-C999071F5D73}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A5DA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A5D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A5D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17C7" w14:textId="77777777" w:rsidR="000A5DA4" w:rsidRDefault="000A5DA4">
      <w:pPr>
        <w:spacing w:after="0" w:line="240" w:lineRule="auto"/>
      </w:pPr>
      <w:r>
        <w:separator/>
      </w:r>
    </w:p>
  </w:footnote>
  <w:footnote w:type="continuationSeparator" w:id="0">
    <w:p w14:paraId="22F76038" w14:textId="77777777" w:rsidR="000A5DA4" w:rsidRDefault="000A5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A5D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A5DA4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A5DA4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a23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>lactic-market-price-forecast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A5D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234CC"/>
    <w:rsid w:val="000A5DA4"/>
    <w:rsid w:val="000E5724"/>
    <w:rsid w:val="003B3B1B"/>
    <w:rsid w:val="004B6D60"/>
    <w:rsid w:val="007F51ED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2441</Words>
  <Characters>13431</Characters>
  <Application>Microsoft Office Word</Application>
  <DocSecurity>0</DocSecurity>
  <Lines>111</Lines>
  <Paragraphs>31</Paragraphs>
  <ScaleCrop>false</ScaleCrop>
  <Company/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4</cp:revision>
  <cp:lastPrinted>2026-10-13T11:32:00Z</cp:lastPrinted>
  <dcterms:created xsi:type="dcterms:W3CDTF">2026-07-03T11:29:00Z</dcterms:created>
  <dcterms:modified xsi:type="dcterms:W3CDTF">2026-10-13T11:32:00Z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