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44"/>
          <w:szCs w:val="44"/>
          <w:u w:val="none"/>
          <w:shd w:fill="auto" w:val="clear"/>
          <w:vertAlign w:val="baseline"/>
        </w:rPr>
      </w:pPr>
      <w:r>
        <w:rPr>
          <w:rFonts w:ascii="Arial" w:cs="Arial" w:eastAsia="Arial" w:hAnsi="Arial"/>
          <w:b w:val="1"/>
          <w:bCs w:val="1"/>
          <w:i w:val="0"/>
          <w:iCs w:val="0"/>
          <w:smallCaps w:val="0"/>
          <w:strike w:val="0"/>
          <w:color w:val="000000"/>
          <w:sz w:val="44"/>
          <w:szCs w:val="44"/>
          <w:u w:val="none"/>
          <w:shd w:fill="auto" w:val="clear"/>
          <w:vertAlign w:val="baseline"/>
          <w:rtl w:val="0"/>
        </w:rPr>
        <w:t xml:space="preserve">Ficha de metadatos del modelo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Plantilla para el endpoint /stats  ·  </w:t>
      </w:r>
    </w:p>
    <w:p w:rsidR="00000000" w:rsidDel="00000000" w:rsidP="00000000" w:rsidRDefault="00000000" w:rsidRPr="00000000" w14:paraId="00000003">
      <w:pPr>
        <w:spacing w:after="120" w:lineRule="auto"/>
        <w:rPr>
          <w:b w:val="1"/>
          <w:bCs w:val="1"/>
          <w:color w:val="333333"/>
          <w:sz w:val="24"/>
          <w:szCs w:val="24"/>
        </w:rPr>
      </w:pPr>
      <w:r>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Pr>
          <w:rFonts w:ascii="Arial" w:cs="Arial" w:eastAsia="Arial" w:hAnsi="Arial"/>
          <w:b w:val="1"/>
          <w:bCs w:val="1"/>
          <w:i w:val="0"/>
          <w:iCs w:val="0"/>
          <w:smallCaps w:val="0"/>
          <w:strike w:val="0"/>
          <w:color w:val="000000"/>
          <w:sz w:val="28"/>
          <w:szCs w:val="28"/>
          <w:u w:val="none"/>
          <w:shd w:fill="auto" w:val="clear"/>
          <w:vertAlign w:val="baseline"/>
          <w:rtl w:val="0"/>
        </w:rPr>
        <w:t xml:space="preserve">Instrucciones</w:t>
      </w:r>
    </w:p>
    <w:p w:rsidR="00000000" w:rsidDel="00000000" w:rsidP="00000000" w:rsidRDefault="00000000" w:rsidRPr="00000000" w14:paraId="00000005">
      <w:pPr>
        <w:rPr/>
      </w:pPr>
      <w:r>
        <w:rPr>
          <w:rtl w:val="0"/>
        </w:rPr>
        <w:t xml:space="preserve">Rellena este documento por cada modelo entregado. La información que proporciones se usará para construir el </w:t>
      </w:r>
      <w:r>
        <w:rPr>
          <w:b w:val="1"/>
          <w:bCs w:val="1"/>
          <w:rtl w:val="0"/>
        </w:rPr>
        <w:t xml:space="preserve">endpoint GET /stats </w:t>
      </w:r>
      <w:r>
        <w:rPr>
          <w:rtl w:val="0"/>
        </w:rPr>
        <w:t xml:space="preserve">de la API, que es el que consume la plataforma Datagia para mostrar el listado de modelos disponibles.</w:t>
      </w:r>
    </w:p>
    <w:p w:rsidR="00000000" w:rsidDel="00000000" w:rsidP="00000000" w:rsidRDefault="00000000" w:rsidRPr="00000000" w14:paraId="00000006">
      <w:pPr>
        <w:pStyle w:val="Heading2"/>
        <w:spacing w:after="120" w:before="320" w:lineRule="auto"/>
        <w:rPr/>
      </w:pPr>
      <w:r>
        <w:rPr>
          <w:rtl w:val="0"/>
        </w:rPr>
        <w:t xml:space="preserve">1. Información general</w:t>
      </w:r>
    </w:p>
    <w:p w:rsidR="00000000" w:rsidDel="00000000" w:rsidP="00000000" w:rsidRDefault="00000000" w:rsidRPr="00000000" w14:paraId="00000007">
      <w:pPr>
        <w:rPr/>
      </w:pPr>
      <w:r>
        <w:rPr>
          <w:rtl w:val="0"/>
        </w:rPr>
        <w:t xml:space="preserve">Rellena todos los campos. La descripción es la que aparecerá visible en Datagia.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
              <w:t>Nombre del modelo (model_key)</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modelo_48_xai_ccp_pasteurizado</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
              <w:t>Versión</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 xml:space="preserve">1.3</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
              <w:t>Descripción</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Módulo XAI del entregable 48 que explica el modelo DNSL del entregable 47 mediante Grad-CAM y SHAP para detectar puntos Críticos de control, severidad agregada y recomendaciones prescriptivas en maquinaria de pasteurizado.</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
              <w:t>Tipo de tarea (task_type)</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explainability / classification_support / prescriptive_support</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
              <w:t>Framework</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 xml:space="preserve">PyTorch 2.5.1 (CPU), SHAP 0.51.0, pandas 2.2.3 (compatible con 3.x), scikit-learn 1.6.1/joblib, numpy 2.2.6; Python 3.12</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
              <w:t>Fichero del artefacto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 xml:space="preserve">No entrena artefacto propio. Consume los artefactos del modelo aprobado del Entregable 47 v2.0: models/artifacts/neurosymbolic_cnn.pth (MD5 5b087a2c16777300521b08e7514fa0e8), scaler_cnn_dns.pkl, feature_columns.pkl y ts1_mean_train.pkl; usa config/maintenance_actions.yaml para acciones prescriptivas.</w:t>
            </w:r>
          </w:p>
        </w:tc>
      </w:tr>
    </w:tbl>
    <w:p w:rsidR="00000000" w:rsidDel="00000000" w:rsidP="00000000" w:rsidRDefault="00000000" w:rsidRPr="00000000" w14:paraId="00000014">
      <w:pPr>
        <w:spacing w:before="280" w:lineRule="auto"/>
        <w:rPr/>
      </w:pPr>
      <w:r>
        <w:rPr>
          <w:rtl w:val="0"/>
        </w:rPr>
      </w:r>
    </w:p>
    <w:p w:rsidR="00000000" w:rsidDel="00000000" w:rsidP="00000000" w:rsidRDefault="00000000" w:rsidRPr="00000000" w14:paraId="00000015">
      <w:pPr>
        <w:pStyle w:val="Heading2"/>
        <w:spacing w:after="120" w:before="320" w:lineRule="auto"/>
        <w:rPr/>
      </w:pPr>
      <w:r>
        <w:rPr>
          <w:rtl w:val="0"/>
        </w:rPr>
        <w:t xml:space="preserve">2. Campos de entrada (inputs)</w:t>
      </w:r>
    </w:p>
    <w:p w:rsidR="00000000" w:rsidDel="00000000" w:rsidP="00000000" w:rsidRDefault="00000000" w:rsidRPr="00000000" w14:paraId="00000016">
      <w:pPr>
        <w:rPr/>
      </w:pPr>
      <w:r>
        <w:rPr>
          <w:rtl w:val="0"/>
        </w:rPr>
        <w:t xml:space="preserve">Lista todos los campos que necesita el modelo para hacer una predicción. Añade filas si necesitas más de cuatro.</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7"/>
        <w:gridCol w:w="1384"/>
        <w:gridCol w:w="3055"/>
        <w:gridCol w:w="1307"/>
        <w:gridCol w:w="1447"/>
        <w:tblGridChange w:id="0">
          <w:tblGrid>
            <w:gridCol w:w="2167"/>
            <w:gridCol w:w="1384"/>
            <w:gridCol w:w="3055"/>
            <w:gridCol w:w="1307"/>
            <w:gridCol w:w="1447"/>
          </w:tblGrid>
        </w:tblGridChange>
      </w:tblGrid>
      <w:tr>
        <w:trPr>
          <w:cantSplit w:val="0"/>
          <w:tblHeader w:val="1"/>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
              <w:t>Nombre del campo</w:t>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
              <w:t>Tipo</w:t>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
              <w:t>Descripción</w:t>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
              <w:t>Obligatorio</w:t>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
              <w:t>Valor por defecto</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input_csv_path</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string</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Ruta al CSV de entrada para el análisis XAI. En modo global puede omitirse y se usa el dataset procesado definido por configuración; en modo local se usa un CSV con ciclos y sensores.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No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data/raw/hydraulic_raw.csv</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cycle</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integer</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Cycle_ID concreto a explicar en modo local. Si no se informa, se ejecuta análisis global multi-ciclo.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No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null</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n_samples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integer</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Número máximo de ciclos del conjunto de test usados en el análisis global de puntos Críticos.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No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50</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output_csv_path</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string</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Ruta donde se escribe el informe XAI principal o local, según el modo de ejecución.</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No</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data/predictions/xai_report.csv</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Cycle_ID</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integer</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Identificador del ciclo dentro del CSV de entrada. Necesario para agrupar la serie temporal y seleccionar un ciclo local.</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Sí</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Time_Segundos</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float</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Marca temporal de cada muestra del ciclo para mantener el orden temporal usado por Grad-CAM.</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Sí</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PS1, PS3, EPS1, FS1, TS1, TS2, VS1</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float series</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Sensores base del pipeline final. Con las variables derivadas _rmean, _rstd y _lag1 forman 28 features de entrada alineadas con feature_columns.pkl.</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Sí</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artefactos_modelo_47</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files</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Artefactos entrenados requeridos para explicar el modelo: neurosymbolic_cnn.pth, scaler_cnn_dns.pkl, feature_columns.pkl y ts1_mean_train.pkl.</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Sí</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models/artifacts/</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no_digital_twin</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boolean</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Desactiva el Gemelo Digital (desplazamiento térmico a 65ºC) en el análisis local por ciclo. Por defecto se aplica, pensado para el dataset de laboratorio UCI; actívese solo al analizar ciclos reales de planta con temperaturas ya operativas.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No</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false</w:t>
            </w:r>
          </w:p>
        </w:tc>
      </w:tr>
    </w:tbl>
    <w:p w:rsidR="00000000" w:rsidDel="00000000" w:rsidP="00000000" w:rsidRDefault="00000000" w:rsidRPr="00000000" w14:paraId="00000030">
      <w:pPr>
        <w:spacing w:before="280" w:lineRule="auto"/>
        <w:rPr/>
      </w:pPr>
      <w:r>
        <w:rPr>
          <w:rtl w:val="0"/>
        </w:rPr>
      </w:r>
    </w:p>
    <w:p w:rsidR="00000000" w:rsidDel="00000000" w:rsidP="00000000" w:rsidRDefault="00000000" w:rsidRPr="00000000" w14:paraId="00000031">
      <w:pPr>
        <w:spacing w:before="280" w:lineRule="auto"/>
        <w:rPr/>
      </w:pPr>
      <w:r>
        <w:rPr>
          <w:rtl w:val="0"/>
        </w:rPr>
      </w:r>
    </w:p>
    <w:p w:rsidR="00000000" w:rsidDel="00000000" w:rsidP="00000000" w:rsidRDefault="00000000" w:rsidRPr="00000000" w14:paraId="00000032">
      <w:pPr>
        <w:spacing w:before="280" w:lineRule="auto"/>
        <w:rPr/>
      </w:pPr>
      <w:r>
        <w:rPr>
          <w:rtl w:val="0"/>
        </w:rPr>
      </w:r>
    </w:p>
    <w:p w:rsidR="00000000" w:rsidDel="00000000" w:rsidP="00000000" w:rsidRDefault="00000000" w:rsidRPr="00000000" w14:paraId="00000033">
      <w:pPr>
        <w:spacing w:before="280" w:lineRule="auto"/>
        <w:rPr/>
      </w:pPr>
      <w:r>
        <w:rPr>
          <w:rtl w:val="0"/>
        </w:rPr>
      </w:r>
    </w:p>
    <w:p w:rsidR="00000000" w:rsidDel="00000000" w:rsidP="00000000" w:rsidRDefault="00000000" w:rsidRPr="00000000" w14:paraId="00000034">
      <w:pPr>
        <w:pStyle w:val="Heading2"/>
        <w:spacing w:after="120" w:before="320" w:lineRule="auto"/>
        <w:rPr/>
      </w:pPr>
      <w:r>
        <w:rPr>
          <w:rtl w:val="0"/>
        </w:rPr>
        <w:t xml:space="preserve">3. Campos de salida (outputs)</w:t>
      </w:r>
    </w:p>
    <w:p w:rsidR="00000000" w:rsidDel="00000000" w:rsidP="00000000" w:rsidRDefault="00000000" w:rsidRPr="00000000" w14:paraId="00000035">
      <w:pPr>
        <w:rPr/>
      </w:pPr>
      <w:r>
        <w:rPr>
          <w:rtl w:val="0"/>
        </w:rPr>
        <w:t xml:space="preserve">Lista lo que devuelve el modelo. Incluye el nombre exacto del campo en la respuesta JSON.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5160"/>
        <w:tblGridChange w:id="0">
          <w:tblGrid>
            <w:gridCol w:w="2600"/>
            <w:gridCol w:w="1600"/>
            <w:gridCol w:w="5160"/>
          </w:tblGrid>
        </w:tblGridChange>
      </w:tblGrid>
      <w:tr>
        <w:trPr>
          <w:cantSplit w:val="0"/>
          <w:tblHeader w:val="1"/>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
              <w:t>Nombre del campo</w:t>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
              <w:t>Tipo</w:t>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
              <w:t>Descripción</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xai_report</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CSV / array de objetos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Reporte global xai_report.csv con componente, sensor crítico, importancia, ventana temporal en índice de muestra y en segundos (ventana_inicio_s/ventana_fin_s), intensidad, regla física, severidad NORMAL/WARNING/CRÍTICO, descripción en lenguaje de operador (descripcion_operador) y trazabilidad a los Cycle_ID de test concretos analizados (n_ciclos_analizados, ciclos_analizados).</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xai_report_shap</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CSV / array de objetos</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Reporte xai_report_shap.csv con importancias SHAP agregadas por componente y sensor (28 filas = 4 componentes x 7 sensores), junto con el número y el listado de Cycle_ID sobre los que se agregó cada importancia (n_ciclos_agregados, ciclos_agregados).</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xai_report_cycle</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CSV / array de objetos</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Reporte local xai_report_cycle.csv con el Cycle_ID analizado (cycle_id), predicción Sano/Warning/Crítico, confianza, sensor más relevante, importancia, ventana crítica de Grad-CAM en segundos (ventana_critica_inicio_s/fin_s), acción, urgencia, intervalo de ciclos y el risk score serializado (riesgo_score, riesgo_nivel).</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figures</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array de rutas</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Evidencias visuales generadas/referenciadas: data/predictions/figures/gradcam_ccp_windows.png y data/predictions/figures/shap_importance_global.png.</w:t>
            </w:r>
          </w:p>
        </w:tc>
      </w:tr>
    </w:tbl>
    <w:p w:rsidR="00000000" w:rsidDel="00000000" w:rsidP="00000000" w:rsidRDefault="00000000" w:rsidRPr="00000000" w14:paraId="0000003F">
      <w:pPr>
        <w:spacing w:before="280" w:lineRule="auto"/>
        <w:rPr/>
      </w:pPr>
      <w:r>
        <w:rPr>
          <w:rtl w:val="0"/>
        </w:rPr>
      </w:r>
    </w:p>
    <w:p w:rsidR="00000000" w:rsidDel="00000000" w:rsidP="00000000" w:rsidRDefault="00000000" w:rsidRPr="00000000" w14:paraId="00000040">
      <w:pPr>
        <w:pStyle w:val="Heading2"/>
        <w:spacing w:after="120" w:before="320" w:lineRule="auto"/>
        <w:rPr/>
      </w:pPr>
      <w:r>
        <w:rPr>
          <w:rtl w:val="0"/>
        </w:rPr>
        <w:t xml:space="preserve">4. Métricas de evaluación</w:t>
      </w:r>
    </w:p>
    <w:p w:rsidR="00000000" w:rsidDel="00000000" w:rsidP="00000000" w:rsidRDefault="00000000" w:rsidRPr="00000000" w14:paraId="00000041">
      <w:pPr>
        <w:rPr/>
      </w:pPr>
      <w:r>
        <w:rPr>
          <w:rtl w:val="0"/>
        </w:rPr>
        <w:t xml:space="preserve">Usa las métricas reales de tu notebook de evaluación (evaluation.ipynb o models/metrics/). Ejemplos: MAE, MAPE, R², accuracy, mAP50, mAP50-95, F1...</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
              <w:t>Métrica</w:t>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
              <w:t>Valor</w:t>
            </w:r>
          </w:p>
        </w:tc>
        <w:tc>
          <w:tcPr>
            <w:tcBorders>
              <w:top w:color="bfcfdf" w:space="0" w:sz="4" w:val="single"/>
              <w:left w:color="bfcfdf" w:space="0" w:sz="4" w:val="single"/>
              <w:bottom w:color="bfcfdf" w:space="0" w:sz="4" w:val="single"/>
              <w:right w:color="bfcfdf" w:space="0" w:sz="4" w:val="single"/>
            </w:tcBorders>
            <w:shd w:fill="d6e4f0" w:val="clear"/>
            <w:tcMar>
              <w:top w:w="80.0" w:type="dxa"/>
              <w:left w:w="120.0" w:type="dxa"/>
              <w:bottom w:w="80.0" w:type="dxa"/>
              <w:right w:w="120.0" w:type="dxa"/>
            </w:tcMar>
          </w:tcPr>
          <w:p>
            <w:r>
              <w:t>Descripción</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Reproducibilidad de salidas XAI</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OK - determinista con semilla fija</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La ejecución global y local del modo xai regenera los CSV de forma determinista (random_state=42): mismos ciclos muestreados y mismos resultados en ejecuciones repetidas sobre los mismos artefactos. El hash cambia si se actualiza el modelo, el muestreo o las reglas físicas del módulo XAI (como ocurrió en julio de 2026 al corregir el sesgo de muestreo del análisis global), por lo que no debe compararse contra un hash de referencia fijo sin revisar antes si hubo cambios de código.</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Cobertura de evidencias XAI</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3/3 CSV y 2/2 figuras</w:t>
            </w:r>
          </w:p>
        </w:tc>
        <w:tc>
          <w:tcPr>
            <w:tcBorders>
              <w:top w:color="bfcfdf" w:space="0" w:sz="4" w:val="single"/>
              <w:left w:color="bfcfdf" w:space="0" w:sz="4" w:val="single"/>
              <w:bottom w:color="bfcfdf" w:space="0" w:sz="4" w:val="single"/>
              <w:right w:color="bfcfdf" w:space="0" w:sz="4" w:val="single"/>
            </w:tcBorders>
            <w:shd w:fill="ebf3fb" w:val="clear"/>
            <w:tcMar>
              <w:top w:w="80.0" w:type="dxa"/>
              <w:left w:w="120.0" w:type="dxa"/>
              <w:bottom w:w="80.0" w:type="dxa"/>
              <w:right w:w="120.0" w:type="dxa"/>
            </w:tcMar>
          </w:tcPr>
          <w:p>
            <w:r>
              <w:t>Se generan/verifican xai_report.csv, xai_report_shap.csv, xai_report_cycle.csv, gradcam_ccp_windows.png y shap_importance_global.png.</w:t>
            </w:r>
          </w:p>
        </w:tc>
      </w:tr>
      <w:tr>
        <w:trPr>
          <w:cantSplit w:val="0"/>
          <w:tblHeader w:val="0"/>
        </w:trPr>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Trazabilidad de artefactos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4/4 artefactos requeridos</w:t>
            </w:r>
          </w:p>
        </w:tc>
        <w:tc>
          <w:tcPr>
            <w:tcBorders>
              <w:top w:color="bfcfdf" w:space="0" w:sz="4" w:val="single"/>
              <w:left w:color="bfcfdf" w:space="0" w:sz="4" w:val="single"/>
              <w:bottom w:color="bfcfdf" w:space="0" w:sz="4" w:val="single"/>
              <w:right w:color="bfcfdf" w:space="0" w:sz="4" w:val="single"/>
            </w:tcBorders>
            <w:shd w:fill="ffffff" w:val="clear"/>
            <w:tcMar>
              <w:top w:w="80.0" w:type="dxa"/>
              <w:left w:w="120.0" w:type="dxa"/>
              <w:bottom w:w="80.0" w:type="dxa"/>
              <w:right w:w="120.0" w:type="dxa"/>
            </w:tcMar>
          </w:tcPr>
          <w:p>
            <w:r>
              <w:t>El Módulo XAI localiza los artefactos neurosymbolic_cnn.pth, scaler_cnn_dns.pkl, feature_columns.pkl y ts1_mean_train.pkl.</w:t>
            </w:r>
          </w:p>
        </w:tc>
      </w:tr>
    </w:tbl>
    <w:p w:rsidR="00000000" w:rsidDel="00000000" w:rsidP="00000000" w:rsidRDefault="00000000" w:rsidRPr="00000000" w14:paraId="0000004E">
      <w:pPr>
        <w:spacing w:before="280" w:lineRule="auto"/>
        <w:rPr/>
      </w:pPr>
      <w:r>
        <w:rPr>
          <w:rtl w:val="0"/>
        </w:rPr>
      </w:r>
    </w:p>
    <w:p w:rsidR="00000000" w:rsidDel="00000000" w:rsidP="00000000" w:rsidRDefault="00000000" w:rsidRPr="00000000" w14:paraId="0000004F">
      <w:pPr>
        <w:pStyle w:val="Heading2"/>
        <w:spacing w:after="120" w:before="320" w:lineRule="auto"/>
        <w:rPr/>
      </w:pPr>
      <w:r>
        <w:rPr>
          <w:rtl w:val="0"/>
        </w:rPr>
        <w:t xml:space="preserve">5. Observaciones / notas adicionales</w:t>
      </w:r>
    </w:p>
    <w:p w:rsidR="00000000" w:rsidDel="00000000" w:rsidP="00000000" w:rsidRDefault="00000000" w:rsidRPr="00000000" w14:paraId="00000050">
      <w:pPr>
        <w:rPr/>
      </w:pPr>
      <w:r>
        <w:t>Este documento describe únicamente la capa XAI del entregable 48. El Módulo no entrena un modelo propio ni debe evaluarse con métricas predictivas base del modelo 47; consume los artefactos entrenados del DNSL/CNN para generar explicabilidad post-hoc, puntos Críticos de control y recomendaciones prescriptivas. La ejecución reproducible principal es python -m src.main xai --output data/predictions/xai_report.csv --n-samples 50 y, para análisis local, python -m src.main xai --input data/raw/hydraulic_raw.csv --output data/predictions/xai_report_cycle.csv --cycle 123. El pipeline final usa 7 sensores base (PS1, PS3, EPS1, FS1, TS1, TS2 y VS1) y 28 features totales. Las acciones prescriptivas se parametrizan mediante config/maintenance_actions.yaml con fallback reproducible en código. GPU opcional; puede ejecutarse en CPU con mayor tiempo de cómputo.</w:t>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center"/>
      <w:rPr/>
    </w:pPr>
    <w:r w:rsidDel="00000000" w:rsidR="00000000" w:rsidRPr="00000000">
      <w:rPr>
        <w:color w:val="999999"/>
        <w:sz w:val="16"/>
        <w:szCs w:val="16"/>
        <w:rtl w:val="0"/>
      </w:rPr>
      <w:t xml:space="preserve">Plantilla metadatos de modelo -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40" w:line="240" w:lineRule="auto"/>
      <w:ind w:left="0" w:right="0" w:firstLine="0"/>
      <w:jc w:val="left"/>
    </w:pPr>
    <w:rPr>
      <w:rFonts w:ascii="Arial" w:cs="Arial" w:eastAsia="Arial" w:hAnsi="Arial"/>
      <w:b w:val="1"/>
      <w:bCs w:val="1"/>
      <w:i w:val="0"/>
      <w:iCs w:val="0"/>
      <w:smallCaps w:val="0"/>
      <w:strike w:val="0"/>
      <w:color w:val="1f4e8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f4e8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dwVchzUq8NZDJrgtdv9TlGT52g==">CgMxLjA4AHIhMWNDSzVzLU9zYlQ1dzZEUkFqR2dOUWxvMmJhRmFBd2V4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