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a19 · cereals-cost-forecast</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ml19-cereals-cost-forecast</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Sistema ensemble multi-horizonte (h=1, 2 y 3 meses) para el precio medio de cereales a granel en España (trigo, cebada, maíz). Combina un bloque de regresión (Ridge en h1, XGBoost en h2/h3) que estima la magnitud del retorno porcentual esperado, con un bloque de clasificación (LogisticRegression en h1, XGBoost en h2/h3) que estima la probabilidad de subida. Ambas salidas se funden en una señal ensemble LONG/SHORT/FLAT con indicador de confianza ALTA/BAJA según el grado de acuerdo entre los dos bloques.</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regression_classification_ensemble (multi-horizonte)</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scikit-learn==1.8.0 (Ridge, LogisticRegression, StandardScaler) / xgboost==3.2.0</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training_meta.json (lista de 48 features, mejor modelo por horizonte, train_end) + 6 artefactos .pkl ({model, scaler, model_name} por horizonte y tarea: best_reg_h1m_ridge.pkl, best_reg_h2m_xgboost.pkl, best_reg_h3m_xgboost.pkl, best_clf_h1m_logreg.pkl, best_clf_h2m_xgboost.pkl, best_clf_h3m_xgboost.pkl) + dataset_v7_fe.csv (dataset de referencia empaquetado, 238 filas x 145 columnas)</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la dirección y magnitud del movimiento de precio de los cereales de mayor volumen del mercado nacional (trigo blando, trigo duro, cebada y maíz) a 1, 2 y 3 meses vista, para soportar decisiones de compra y cobertura de riesgo en la cadena agroalimentaria (cooperativas, industrias harineras, fabricantes de pienso).</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El servicio se consulta mediante POST /predict con un campo opcional 'date' (YYYY-MM). Si se omite, responde con la fila más reciente del dataset de referencia empaquetado; si se informa, consulta ese mes concreto dentro del rango disponible. No existe un modo de entrenamiento por usuario: el endpoint /train devuelve 501, ya que el procedimiento original siempre reentrena sobre su propio dataset ETL (7 fuentes externas: MAPA, ESYRCE, clima Copernicus/GEE, FAO, Yahoo Finance, BCE), no sobre datos de cliente.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string | null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Mes a consultar dentro del dataset de referencia empaquetado, formato YYYY-MM. Si se omite, se usa el mes más reciente disponible.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último mes disponible en el dataset empaquetado</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date_label / mapa_month_used / train_cutoff</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Mes de referencia usado ('hoy'), mes MAPA real que alimenta sus features (date_label - 3 meses de desfase de publicación) y fecha de corte del entrenamiento (2019-12-31)</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YYYY-MM / YYYY-MM-DD</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trazabilidad de qué dato exacto sustenta la predicción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horizons[].reg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object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model_name (Ridge | XGBoost), pred (retorno % esperado), signal (-1/0/1), signal_str (LONG/SHORT/FLAT)</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pred: real sin acotar; signal_str: {LONG, SHORT, FLAT}</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magnitud y dirección esperada del movimiento de precio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horizons[].clf</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object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model_name (LogReg | XGBoost), prob_up (probabilidad de subida, predict_proba), pred_class (0/1), signal_str (LONG/SHORT)</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prob_up: [0,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confianza probabilística en la dirección de subida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horizons[].ensemble_signal / ensemble_str / confidence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 / string / string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Fusión de reg y clf: signo de la suma de ambas señales, y ALTA si coinciden en signo o BAJA si discrepan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ensemble_str: {LONG, SHORT, FLAT}; confidence: {ALTA, BAJA}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la señal operativa final a considerar, con su grado de acuerdo interno</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Regresión h=1m (Ridge)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Pearson r=0.604, Direction Accuracy=80.9%, Sharpe=2.61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Test out-of-sample walk-forward, periodo 2020-01..2025-09 (memoria v6.1, Tabla 38)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8 de cada 10 meses, el signo del retorno predicho coincide con el real</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Regresión h=2m / h=3m (XGBoost)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r=0.559/DA=71.6%/Sharpe=1.66  ·  r=0.611/DA=77.3%/Sharpe=2.71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Misma validación walk-forward; menor base estadística (~34 y ~22 observaciones independientes por solapamiento de ventanas)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señal orientativa, algo menos robusta que h1 por el menor número de observaciones independientes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Clasificación h=1m (LogReg)</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AUC-ROC=0.802, Accuracy=68.1%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Test out-of-sample walk-forward (memoria v6.1, Tabla 39)</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capacidad discriminativa robusta, muy por encima del azar (AUC=0.5)</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Clasificación h=2m / h=3m (XGBoost)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AUC=0.778/Acc=71.0%  ·  AUC=0.842/Acc=78.3%</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Misma validación walk-forward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AUC superior incluso al de h1, aunque con la misma reserva de menor N independiente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post-integración (golden dataset)</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18/18 casos exactos (diferencia 0.0)</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18 meses del periodo de test (2020-01..2024-04), llamando al endpoint /predict real contra el plugin integrado y comparando contra la salida de ejecutar el código original (load_artifacts_src+predict_next_month) sin modificar, contra los mismos 6 artefactos .pkl y el mismo dataset_v7_fe.csv — ver outputs/a19/verification_report.md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plugin integrado reproduce bit a bit la lógica de inferencia original; no introduce ninguna desviación numérica propia</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Dataset de referencia congelado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servicio responde contra un dataset de features (dataset_v7_fe.csv) pre-calculado y empaquetado junto al modelo, con última fila real en 2026-01. No se actualiza solo: mantenerlo vivo exige volver a ejecutar el pipeline ETL completo (autenticación Google Earth Engine, descargas manuales de ficheros MAPA/ESYRCE, llamadas a Yahoo Finance) y redesplegar el artefacto. Esto es una decisión de arquitectura deliberada (ver manifest.yaml), no un defecto del plugin: ningún cliente de API puede aportar razonablemente ese histórico multi-fuente en una petición.</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endpoint /train devuelve 501 (TrainingNotSupportedError). El procedimiento de entrenamiento entregado siempre reentrena sobre su propio dataset ETL fijo, nunca sobre un CSV de cliente — reentrenar requiere el repositorio original y redesplegar el artefacto manualmente.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Mecanismos de mitigación de riesgo descritos en la memoria no implementados en el código entregado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memoria (Tabla 48) describe un 'gate automático de volatilidad' y un 'filtro de confianza por probabilidad (0.65/0.35)' como parte del plan de mitigación de riesgos. Ninguno de los dos existe en el código de inferencia entregado (src/predict/predict.py); las constantes 0.65/0.35 que sí aparecen en el código son umbrales de un veredicto de fiabilidad en los informes de evaluación, no un filtro operativo de la predicción. El plugin replica fielmente el código entregado y no añade estos mecanismos por su cuenta; queda señalado para revisión humana/del equipo de IA.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Menor robustez estadística en h=2m y h=3m</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Por el solapamiento de ventanas temporales, los horizontes de 2 y 3 meses se apoyan en ~34 y ~22 observaciones independientes respectivamente (frente a ~69 en h=1m) — la propia memoria los califica de 'señal orientativa' en vez de resultado con la misma solidez estadística que h=1m.</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Inferencia 100% en CPU, sin necesidad de GPU; tiempo de respuesta sub-segundo. Huella total de artefactos &lt; 1 MB (6 modelos .pkl + meta.json + dataset de referencia de 484 KB). Requiere fijar scikit-learn==1.8.0 y xgboost==3.2.0 en el entorno de despliegue — se ha verificado que versiones ligeramente superiores (1.9.1 / 3.4.1) cargan los .pkl sin cambiar el resultado, pero emiten avisos de incompatibilidad de versión (InconsistentVersionWarning) que conviene eliminar fijando la versión exacta en vez de confiar en la compatibilidad hacia adelante.</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inbox/a19/manifest.yaml::golden_cases (18 meses: 2020-01, 2020-04, 2020-07... hasta 2024-04, trimestrales)</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18 casos, cada uno con 3 horizontes (h=1,2,3) x 2 tareas (regresión + clasificación) = 108 valores comparados</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18/18 casos dentro de tolerancia (diferencia 0.0 en pred/prob_up, coincidencia exacta de signal_str/ensemble_str/confidence) — ver outputs/a19/verification_report.md</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a19 (</w:t>
    </w:r>
    <w:proofErr w:type="spellStart"/>
    <w:r>
      <w:rPr>
        <w:rFonts w:ascii="Liberalisation sans narrow" w:eastAsia="Liberalisation sans narrow" w:hAnsi="Liberalisation sans narrow" w:cs="Liberalisation sans narrow"/>
        <w:color w:val="000000"/>
      </w:rPr>
      <w:t xml:space="preserve">cereals-cost-forecast</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