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Checklist de revisión previa de modelos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Versión consolidada para uso interno AIR · Basada en la última versión revisada por cliente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center"/>
        <w:tblLayout w:type="fixed"/>
        <w:tblLook w:val="0400"/>
      </w:tblPr>
      <w:tblGrid>
        <w:gridCol w:w="1830"/>
        <w:gridCol w:w="3330"/>
        <w:gridCol w:w="2580"/>
        <w:gridCol w:w="2580"/>
        <w:tblGridChange w:id="0">
          <w:tblGrid>
            <w:gridCol w:w="1830"/>
            <w:gridCol w:w="333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 / ID-AIR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Modelo 18 RNN-MODAS</w:t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Revisor/a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Lucía Isabel Rodríguez González</w:t>
            </w:r>
          </w:p>
        </w:tc>
      </w:tr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✓ Listo para entregar 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☐ Revisar/Corregir antes de entregar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objetivo de este documento es detectar los fallos más frecuentes antes de la entrega oficial para reducir iteraciones en las correcciones con el cliente y auditor. De esta forma reforzamos la coherencia entre entregable, README, código y reproducibilidad real del modelo.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Instrucciones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Leer el documento entregable y revisar también el repositorio y el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cada ítem, marcar si cumple, no cumple o no aplica al tipo de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 específico en observaciones si las hubiera: indicar sección, p</w:t>
      </w:r>
      <w:r w:rsidDel="00000000" w:rsidR="00000000" w:rsidRPr="00000000">
        <w:rPr>
          <w:rtl w:val="0"/>
        </w:rPr>
        <w:t xml:space="preserve">ágina,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tabla, script o ruta afectada.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Distinguir entre fallos bloqueantes y mejoras. 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Ind w:w="-115.0" w:type="dxa"/>
        <w:tblLayout w:type="fixed"/>
        <w:tblLook w:val="0400"/>
      </w:tblPr>
      <w:tblGrid>
        <w:gridCol w:w="1530"/>
        <w:gridCol w:w="8640"/>
        <w:tblGridChange w:id="0">
          <w:tblGrid>
            <w:gridCol w:w="1530"/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El cliente bloquea la validación o señala como "el fallo más importante". Debe corregirse antes de entregar.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Aparece en la mayoría de los entregables revisados. Alta probabilidad de estar presente.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MARCA 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Señalado ocasionalmente pero no en todos los modelos.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Portada, encabezados e identificación</w:t>
      </w:r>
      <w:r w:rsidDel="00000000" w:rsidR="00000000" w:rsidRPr="00000000">
        <w:rPr>
          <w:rtl w:val="0"/>
        </w:rPr>
      </w:r>
    </w:p>
    <w:tbl>
      <w:tblPr>
        <w:tblStyle w:val="Table3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título del modelo en portada, encabezado y ficha del proyecto es consistente y corresponde a este modelo (no hay arrastre de título de otro CDU).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ID/número del modelo es correcto en todas las secciones del documento.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hay referencias cruzadas rotas («Figura XX» sin número, «sección X.X» sin completar).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numeración de apartados es correcta y no hay duplicados (ej.: dos apartados 3.4).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DATOS E INTRODUCCIÓN AL DATASET</w:t>
      </w:r>
      <w:r w:rsidDel="00000000" w:rsidR="00000000" w:rsidRPr="00000000">
        <w:rPr>
          <w:rtl w:val="0"/>
        </w:rPr>
      </w:r>
    </w:p>
    <w:tbl>
      <w:tblPr>
        <w:tblStyle w:val="Table4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fuente de datos está citada en el propio documento (no solo en el README) e incluye una URL directa o instrucciones concretas para descargar el conjunto de datos (no solo el nombre de la fuente)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 · 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Explicación concisa sobre cómo descargar y preparar los datasets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reproducir más adelante el proyecto. (Ej. En qué estructura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carpetas se deben de almacenar los datos descargados)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 · 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los datos son sintéticos o semi-sintético, se declara explícitamente y se explican sus implicaciones sobre la validez externa del modelo.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utilizan datos sintéticos en este caso de uso.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documenta si existen datos faltantes o periodos ausentes (no afirmar completitud sin verificarla).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versión concreta del dataset utilizada está especificada (si la fuente ofrece varias versiones).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 define el número de muestras, especificando el porcentaje en caso de ser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multiclase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MODELADO DE DATOS Y ETL</w:t>
      </w:r>
      <w:r w:rsidDel="00000000" w:rsidR="00000000" w:rsidRPr="00000000">
        <w:rPr>
          <w:rtl w:val="0"/>
        </w:rPr>
      </w:r>
    </w:p>
    <w:tbl>
      <w:tblPr>
        <w:tblStyle w:val="Table5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número de variables es consistente en todas las secciones (introducción, EDA, especificaciones técnicas, inferencia).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variables objetivo (target) están claramente diferenciadas de las de entrada, con sus unidades correctas.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documenta la lógica de generación de variables derivadas o sintéticas (reglas, fórmulas, heurísticas).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 referencian los conjuntos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datos utilizados en los splits</w:t>
            </w:r>
            <w:r w:rsidDel="00000000" w:rsidR="00000000" w:rsidRPr="00000000">
              <w:rPr>
                <w:rtl w:val="0"/>
              </w:rPr>
              <w:t xml:space="preserve"> de entrenamiento, validación y test, o bien los índices/listados/scripts necesarios para reproducir exactamente dicha partición.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 documenta el criterio de partición (aleatorio, estratificado, temporal, por grupo, por máquina, etc.) y la semilla utilizada.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Si es posible, adjuntar los datasets finales de train/val/test (tabulares) en la carpeta de splits para facilitar la auditoría y disponer de respaldo ante incidencias en la regeneración de datos.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Los CSVs de splits NO están exportados ni commitados. Sección 9.2 justifica que son reproducibles filtrando por fecha, pero el fichero data/splits/ no existirán en el repositorio.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pipeline de ETL referencia explícitamente los scripts del repositorio donde está implementado (rutas concretas).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EDA incluye interpretaciones en texto de las gráficas (no solo figuras sueltas, también en el notebook si existe).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se aplica normalización/escalado, se especifica que el ajuste (fit) se hace solo sobre el conjunto de entrenamiento.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JUSTIFICACIÓN DE ACCIONES Y DISEÑO DEL MODELO</w:t>
      </w:r>
      <w:r w:rsidDel="00000000" w:rsidR="00000000" w:rsidRPr="00000000">
        <w:rPr>
          <w:rtl w:val="0"/>
        </w:rPr>
      </w:r>
    </w:p>
    <w:tbl>
      <w:tblPr>
        <w:tblStyle w:val="Table6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1710"/>
        <w:gridCol w:w="1725"/>
        <w:gridCol w:w="1725"/>
        <w:gridCol w:w="1725"/>
        <w:gridCol w:w="1725"/>
        <w:tblGridChange w:id="0">
          <w:tblGrid>
            <w:gridCol w:w="1740"/>
            <w:gridCol w:w="1710"/>
            <w:gridCol w:w="1725"/>
            <w:gridCol w:w="1725"/>
            <w:gridCol w:w="1725"/>
            <w:gridCol w:w="1725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En el apartado de objetivos se define explícitamente el modelo final, los principales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tipos de modelos probados, y la variable target para dar una visión global al proyecto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que permita al lector la comprensión del documento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hiperparámetros clave están documentados y se justifica cómo se llegó a esos valores (búsqueda, validación, criterio explícito).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sistema es híbrido (ML + reglas deterministas / neurosimbólico / algoritmos clásicos), se declara explícitamente y se describe el peso relativo de cada componente.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 · 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un sistema híbrido.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decisiones de preprocesado sensibles (interpolación, imputación, padding, augmentation) tienen análisis de su impacto en las métricas.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criterio de selección del modelo final está justificado (por qué esa métrica, por qué esa semilla, por qué ese horizonte temporal).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conjunto de test es ciego durante todo el proceso de selección de modelo.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EVALUACIÓN Y RESULTADOS</w:t>
      </w:r>
      <w:r w:rsidDel="00000000" w:rsidR="00000000" w:rsidRPr="00000000">
        <w:rPr>
          <w:rtl w:val="0"/>
        </w:rPr>
      </w:r>
    </w:p>
    <w:tbl>
      <w:tblPr>
        <w:tblStyle w:val="Table7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umbrales mínimos de aceptación están definidos antes de mostrar los resultados, con justificación.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Existe un modelo baseline y se muestran y comparan las distintas métricas con el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modelo final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métricas especifican a qué conjunto corresponden (train / validación / test) en tablas y figuras.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las métricas se calculan sobre datos interpolados o sintéticos, se advierte explícitamente.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hay contradicciones entre los resultados de diferentes secciones ( tablas de métricas, conclusiones, KPIs prometidos).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 · 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fórmulas de métricas de negocio son matemáticamente correctas (signo correcto, unidades, porcentaje vs absoluto).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hay valores numéricos duplicados, mal formateados o con errores tipográficos en tablas de resultados.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Las afirmaciones y conclusiones sacadas de resultados están acompañadas de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gráficas o números para su justificación.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Los resultados estadísticamente atípicos dentro del propio bloque de métricas —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brechas extremas entre validación y test, métricas idénticas en todos los folds,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inconsistencias internas entre RMSE/MAE/R² en la misma tabla— están analizados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 justificados en el texto, no presentados sin comentario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6. REPRODUCIBILIDAD E INFERENCIA</w:t>
      </w:r>
      <w:r w:rsidDel="00000000" w:rsidR="00000000" w:rsidRPr="00000000">
        <w:rPr>
          <w:rtl w:val="0"/>
        </w:rPr>
      </w:r>
    </w:p>
    <w:tbl>
      <w:tblPr>
        <w:tblStyle w:val="Table8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instrucciones de inferencia incluyen: creación del entorno virtual, instalación de dependencias y comandos de ejecución completos.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 · 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extensiones de los artefactos guardados coinciden entre documento y código real (ej.: .pkl vs .pt, .csv vs .json).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listan las rutas exactas de todos los artefactos necesarios en el repositorio (modelos, scalers, configs, datos procesados).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documenta qué sucede si una fuente de datos externa no está disponible en el momento de la inferencia.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salida del sistema (CSV, predicciones) está descrita con claridad: número de filas esperado, columnas, interpretación de cada campo.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Si la inferencia depende de un servicio externo, endpoint remoto, VPN o recurso de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red activo, esta dependencia está documentada explícitamente con instrucciones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de acceso o contacto, no asumida como disponible.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7. CÓDIGO Y COHERENCIA IMPLEMENTATIVA</w:t>
      </w:r>
      <w:r w:rsidDel="00000000" w:rsidR="00000000" w:rsidRPr="00000000">
        <w:rPr>
          <w:rtl w:val="0"/>
        </w:rPr>
      </w:r>
    </w:p>
    <w:tbl>
      <w:tblPr>
        <w:tblStyle w:val="Table9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hiperparámetros por defecto en el código coinciden con los descritos en el documento.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 · 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flujo de inferencia implementado en el código coincide con el descrito en el documento (no existen dos flujos distintos que den resultados diferentes).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métricas guardadas en el código corresponden al conjunto correcto (no guardar métricas de validación etiquetadas como “train”).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scripts mencionados en el documento existen en el repositorio con el nombre exacto indicado.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estructura de carpetas documentada coincide con la real del repositorio (incluyendo carpetas como notebooks, scripts, etc.).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README es consistente con el documento y con el estado real del código.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 Estado del repositorio</w:t>
      </w:r>
      <w:r w:rsidDel="00000000" w:rsidR="00000000" w:rsidRPr="00000000">
        <w:rPr>
          <w:rtl w:val="0"/>
        </w:rPr>
      </w:r>
    </w:p>
    <w:tbl>
      <w:tblPr>
        <w:tblStyle w:val="Table10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repositorio no está vacío ni tiene ramas sin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mergear a main</w:t>
            </w:r>
            <w:r w:rsidDel="00000000" w:rsidR="00000000" w:rsidRPr="00000000">
              <w:rPr>
                <w:rtl w:val="0"/>
              </w:rPr>
              <w:t xml:space="preserve"> antes de la entrega.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modelo entrenado está subido al repositorio (o al blob storage-&gt;bucket acordado) en el formato correcto.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REP-R-3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dataset no está en el repositorio por tamaño, está disponible en el blob storage o se indica exactamente dónde descargarlo.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está subido en el repositorio (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models\artifacts\best_gru_df_2008_con_renta\model.joblib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9. Citaciones y referencias</w:t>
      </w:r>
      <w:r w:rsidDel="00000000" w:rsidR="00000000" w:rsidRPr="00000000">
        <w:rPr>
          <w:rtl w:val="0"/>
        </w:rPr>
      </w:r>
    </w:p>
    <w:tbl>
      <w:tblPr>
        <w:tblStyle w:val="Table11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estilo de citación es uniforme en todo el documento (et al., APA, IEEE… pero siempre el mismo).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referencias citadas en el texto aparecen en la sección de referencias al final.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citas justifican decisiones de arquitectura con fuentes relevantes para este dominio específico (no fuentes genéricas inadecuadas para el problema concreto).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enlaces se incluyen como hipervínculo asociado a la cita correcta, no como URL suelta en el texto.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10. Limitaciones y consideraciones de producción</w:t>
      </w:r>
      <w:r w:rsidDel="00000000" w:rsidR="00000000" w:rsidRPr="00000000">
        <w:rPr>
          <w:rtl w:val="0"/>
        </w:rPr>
      </w:r>
    </w:p>
    <w:tbl>
      <w:tblPr>
        <w:tblStyle w:val="Table12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sección de limitaciones incluye las derivadas de la naturaleza de los datos (sintéticos, interpolados, escasos, desbalanceados).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documentan recomendaciones de reentrenamiento con criterio empírico justificado (no solo “reentrenar periódicamente”).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incluye alguna señal o umbral para detectar degradación del modelo en producción (concept drift, umbral de alerta).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limitaciones mencionadas en el texto tienen impacto cuantificado o advertido en las secciones de resultados (no queda como mención aislada sin consecuencias en los números).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Notas según el tipo de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Modelos de visión (YOLO, CNN):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Prestar especial atención a ETL-2, MET-2, REP-1 y ARCH-2 si hay ensemble o fusión de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Series temporales / predictivos: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con detalle ARCH-3, ARCH-5, MET-3 y LIM-2.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Sistemas híbridos (ML + reglas):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ARCH-2 suele ser un punto sensible. Verificar también COD-2 y MET-4.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Modelos de optimización (PSO, algoritmos genéticos):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ARCH-1 y COD-1, especialmente parámetros del optimizador y consistencia doc–código.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Modelos con datos sintéticos: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DAT-3 suele ser un fallo grave. Revisar también MET-3 y LIM-1.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0" w:top="964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53ZxgKX/uaUTjYYgLzbeym7jzA==">CgMxLjA4AHIhMWVnckJXdVMwRk9sVGM2WjJ5akloQmRyU0VuUkFpVDQw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