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106243A3" ns2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24C99032" ns2:textId="77777777" w:rsidR="00CE24DC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6DA82D87" ns4:editId="67E776CC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63AD88AE" ns2:textId="77777777" w:rsidR="00CE24DC" w:rsidRDefault="00CE24DC"/>
    <w:p ns2:paraId="13617619" ns2:textId="77777777" w:rsidR="00CE24DC" w:rsidRDefault="00CE24DC"/>
    <w:p ns2:paraId="1CFC4C5D" ns2:textId="77777777" w:rsidR="00CE24DC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35C55989" ns4:editId="6F08A60C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160A56DE" ns2:textId="77777777" w:rsidR="00CE24DC" w:rsidRDefault="00CE24DC"/>
    <w:p ns2:paraId="25B33647" ns2:textId="77777777" w:rsidR="00CE24DC" w:rsidRDefault="00CE24DC"/>
    <w:p ns2:paraId="6735FB09" ns2:textId="77777777" w:rsidR="00CE24DC" w:rsidRDefault="00CE24DC"/>
    <w:p ns2:paraId="1CEC7FC8" ns2:textId="77777777" w:rsidR="00CE24DC" w:rsidRDefault="00CE24DC"/>
    <w:p ns2:paraId="37EEEAA2" ns2:textId="77777777" w:rsidR="00CE24DC" w:rsidRDefault="00CE24DC">
      <w:pPr>
        <w:jc w:val="right"/>
      </w:pPr>
    </w:p>
    <w:p ns2:paraId="63AC0D8F" ns2:textId="77777777" w:rsidR="00CE24DC" w:rsidRDefault="00CE24DC"/>
    <w:p ns2:paraId="5A911671" ns2:textId="77777777" w:rsidR="00CE24DC" w:rsidRDefault="00CE24DC"/>
    <w:p ns2:paraId="0B16D1AF" ns2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576D7E2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ns2:paraId="3B449A25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m21 · cereal-price-spatial-arbitrage</w:t>
      </w:r>
    </w:p>
    <w:p ns2:paraId="51DA5B40" ns2:textId="77777777" w:rsidR="00CE24DC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Descripción de negocio para usuarios de la plataforma DatagIA</w:t>
      </w:r>
    </w:p>
    <w:p ns2:paraId="40EB8FF9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Agosto 2026</w:t>
      </w:r>
    </w:p>
    <w:p ns2:paraId="27FF289D" ns2:textId="77777777" w:rsidR="00CE24DC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39D70CED" ns4:editId="0A17AF9A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02C5CAC2" ns2:textId="77777777" w:rsidR="00CE24DC" w:rsidRDefault="00CE24DC"/>
    <w:p ns2:paraId="7933C1B1" ns2:textId="77777777" w:rsidR="00CE24DC" w:rsidRDefault="00CE24DC"/>
    <w:p ns2:paraId="61C7AC21" ns2:textId="77777777" w:rsidR="00CE24DC" w:rsidRDefault="00CE24DC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42353E4" ns2:textId="77777777" w:rsidR="00CE24DC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1A562CDE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7040EB8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586DF882" ns2:textId="2ED357CA" w:rsidR="00CE24DC" w:rsidRDefault="00CE24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494"/>
        </w:tabs>
        <w:spacing w:after="100"/>
        <w:ind w:left="220"/>
        <w:rPr>
          <w:color w:val="000000"/>
          <w:sz w:val="24"/>
          <w:szCs w:val="24"/>
        </w:rPr>
      </w:pPr>
    </w:p>
    <w:p ns2:paraId="0DE37DC7" ns2:textId="77777777" w:rsidR="00CE24DC" w:rsidRDefault="00000000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</w:p>
    <w:p ns2:paraId="6B5CFA01" ns2:textId="77777777" w:rsidR="00CE24DC" w:rsidRDefault="00CE24DC">
      <w:pPr>
        <w:pStyle w:val="Ttulo1"/>
      </w:pPr>
      <w:bookmarkStart w:id="0" w:name="_heading=h.33jjin156j5n" w:colFirst="0" w:colLast="0"/>
      <w:bookmarkEnd w:id="0"/>
    </w:p>
    <w:p ns2:paraId="59508226" ns2:textId="44329DDB" w:rsidR="00CE24DC" w:rsidRDefault="00BB2B0B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  <w:color w:val="739A8A" w:themeColor="text1"/>
          <w:szCs w:val="24"/>
          <w:lang w:val="en-US"/>
        </w:rPr>
        <w:fldChar w:fldCharType="end"/>
      </w:r>
    </w:p>
    <w:p ns2:paraId="546A9A3A" ns2:textId="7EA5DBCB" w:rsidR="00BB2B0B" w:rsidRDefault="00BB2B0B"/>
    <w:p ns2:paraId="0EBFC326" ns2:textId="77777777" w:rsidR="00CE24DC" w:rsidRDefault="00000000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5C32CB1B" ns2:textId="0F8D2751" w:rsidR="00CE24DC" w:rsidRPr="00BB2B0B" w:rsidRDefault="00000000" w:rsidP="00BB2B0B">
      <w:pPr>
        <w:pStyle w:val="Ttulo1"/>
        <w:jc w:val="left"/>
      </w:pPr>
      <w:bookmarkStart w:id="5" w:name="_Toc233976909"/>
      <w:r>
        <w:lastRenderedPageBreak/>
        <w:t>1. Qué hace el modelo</w:t>
      </w:r>
      <w:bookmarkEnd w:id="5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ns2:paraId="60A61DA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3A6BFC6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17D729" ns2:textId="77777777" w:rsidR="00CE24DC" w:rsidRDefault="00000000">
            <w:r>
              <w:t xml:space="preserve">Sistema de predicción de precios cerealísticos a nivel provincial español que combina regresión de retorno porcentual y clasificación direccional calibrada en una arquitectura de ensambles de árboles multi-horizonte (H1=30d, H2=60d, H3=90d). Integra una capa espacial y logística con variables de distancia a puertos, presión de combustible y análisis de vecindad provincial para identificar oportunidades de arbitraje geográfico.</w:t>
            </w:r>
          </w:p>
        </w:tc>
      </w:tr>
      <w:tr w:rsidR="00CE24DC" ns2:paraId="2EFAE6D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FCB8C3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D00FCD" ns2:textId="77777777" w:rsidR="00CE24DC" w:rsidRDefault="00000000">
            <w:r>
              <w:t xml:space="preserve">Proporcionar una señal mensual de dirección (compra/venta/espera) y magnitud del retorno porcentual del precio de trigo, cebada y maíz a nivel provincial en España, a horizontes de 30, 60 y 90 días, integrando fundamentales macroeconómicos, variables climáticas y una capa de análisis espacial-logístico que capture la fricción de costes de transporte y la eficiencia en la transmisión de precios entre mercados regionales.</w:t>
            </w:r>
          </w:p>
        </w:tc>
      </w:tr>
      <w:tr w:rsidR="00CE24DC" ns2:paraId="3FD753A3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75B45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956F30" ns2:textId="77777777" w:rsidR="00CE24DC" w:rsidRDefault="00000000">
            <w:r>
              <w:t xml:space="preserve">Se utiliza como herramienta de soporte a la decisión en mesas de compras cerealistas: ante la necesidad de planificar inventarios o negociar suministros, el operador selecciona una provincia, cereal y mes de interés, y el sistema devuelve una recomendación táctica (COMPRAR/ESPERAR/VENDER) con nivel de confianza por horizonte temporal, además de rankings provinciales de arbitraje en modo batch para comparar oportunidades geográficas.</w:t>
            </w:r>
          </w:p>
        </w:tc>
      </w:tr>
    </w:tbl>
    <w:p ns2:paraId="42B06DD4" ns2:textId="5A91ADB2" w:rsidR="00CE24DC" w:rsidRDefault="00BB2B0B" w:rsidP="00BB2B0B">
      <w:pPr>
        <w:pStyle w:val="Descripcin"/>
        <w:jc w:val="center"/>
      </w:pPr>
      <w:bookmarkStart w:id="6" w:name="_Toc233977245"/>
      <w:bookmarkStart w:id="7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6"/>
      <w:bookmarkEnd w:id="7"/>
    </w:p>
    <w:p ns2:paraId="05724126" ns2:textId="77777777" w:rsidR="00CE24DC" w:rsidRDefault="00000000" w:rsidP="00BB2B0B">
      <w:pPr>
        <w:jc w:val="both"/>
      </w:pPr>
      <w:r>
        <w:t xml:space="preserve">El modelo no proporciona un precio garantizado de compra/venta, sino una recomendación de dirección y magnitud del retorno esperado. No anticipa eventos de impacto inmediato (cisnes negros) ni decisiones gubernamentales.</w:t>
      </w:r>
    </w:p>
    <w:p ns2:paraId="0B3A0E33" ns2:textId="77777777" w:rsidR="00CE24DC" w:rsidRDefault="00CE24DC"/>
    <w:p ns2:paraId="4D3F6144" ns2:textId="77777777" w:rsidR="00CE24DC" w:rsidRDefault="00000000" w:rsidP="00BB2B0B">
      <w:pPr>
        <w:pStyle w:val="Ttulo1"/>
        <w:jc w:val="left"/>
      </w:pPr>
      <w:bookmarkStart w:id="8" w:name="_Toc233976910"/>
      <w:r>
        <w:t>2. Qué necesito darle (entradas)</w:t>
      </w:r>
      <w:bookmarkEnd w:id="8"/>
    </w:p>
    <w:p ns2:paraId="5D23DC51" ns2:textId="43C7F867" w:rsidR="00BB2B0B" w:rsidRDefault="00BB2B0B" w:rsidP="00BB2B0B">
      <w:pPr>
        <w:jc w:val="both"/>
      </w:pPr>
      <w:r>
        <w:t xml:space="preserve">Los datos provienen del pipeline ETL del proyecto DATAGIA Lote 2: precios e índices MAPA, cotizaciones internacionales MATIF/CBOT, datos climáticos ERA5-Land a nivel provincial, estructura productiva ESYRCE, y variables geoespaciales (centroides IGN, puertos OSM). Todos los datos son mensuales y se procesan automáticamente.</w:t>
      </w:r>
    </w:p>
    <w:p ns2:paraId="6D2C7225" ns2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ns2:paraId="6C80E726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834406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D5573F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provincia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Provincia española productora (Burgos, Zamora, Córdoba, etc.). Se codifica como one-hot.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cereal_predominante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Tipo de cereal predominante: trigo, cebada o maíz. Se codifica como one-hot.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date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Mes de predicción. Determina fase fenológica, lags temporales y ventana de features.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corn_intl_eur_*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Cotizaciones internacionales de maíz (MATIF/CBOT) con lags 1-3 meses, media móvil 3 meses y volatilidad 3 meses, convertidos a EUR.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wheat_intl_eur_*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Cotizaciones internacionales de trigo con lags 1-3, MA3 y vol3 en EUR.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eur_usd_lag_1/2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Paridad EUR/USD con 1 y 2 meses de retardo.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idx_*_lag_3/4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Índices MAPA de costes: fertilizantes, fitosanitarios, semillas, energía, con lags 3-4 meses.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prepag1/2_*_lag_3/4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Costes prepagados: urea, DAP, paja cereales, torta girasol, con lags 3-4 meses.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precip_provincial_lag_1/2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Precipitación provincial con lags 1-2 meses, incluyendo desviación estándar y shock relativo.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temp_provincial_*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Variables de temperatura provincial (media, máxima, mínima) y anomalía.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z_clima_adverso_*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Z-scores de anomalía climática para identificar eventos extremos.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sup_cereal_predominante_lag_1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Superficie sembrada del cereal predominante con 1 mes de retardo.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dist_puerto_min_km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Distancia mínima geodésica (Haversine) al puerto de referencia más cercano.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presion_combustible_puerto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Índice de presión de costes de combustible vinculado a la distancia al nodo logístico.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provincia_*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Codificación one-hot de 23 provincias productoras.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fase_siembra/crecimiento/cosecha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Marcadores binarios de fase fenológica del cereal según el mes.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month_sin/month_cos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Codificación cíclica trigonométrica del mes del año.</w:t>
            </w:r>
          </w:p>
        </w:tc>
      </w:tr>
    </w:tbl>
    <w:p ns2:paraId="7ADAB195" ns2:textId="6B2EA1F7" w:rsidR="00CE24DC" w:rsidRDefault="00BB2B0B" w:rsidP="00BB2B0B">
      <w:pPr>
        <w:pStyle w:val="Descripcin"/>
        <w:jc w:val="center"/>
      </w:pPr>
      <w:bookmarkStart w:id="9" w:name="_Toc233977246"/>
      <w:bookmarkStart w:id="10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  <w:bookmarkEnd w:id="10"/>
    </w:p>
    <w:p ns2:paraId="2D75DAE3" ns2:textId="77777777" w:rsidR="00CE24DC" w:rsidRDefault="00CE24DC"/>
    <w:p ns2:paraId="1D5B0A63" ns2:textId="77777777" w:rsidR="00CE24DC" w:rsidRPr="00BB2B0B" w:rsidRDefault="00000000" w:rsidP="00BB2B0B">
      <w:pPr>
        <w:pStyle w:val="Ttulo1"/>
        <w:jc w:val="left"/>
      </w:pPr>
      <w:bookmarkStart w:id="11" w:name="_Toc233976911"/>
      <w:r>
        <w:t>3. Qué me devuelve (salidas)</w:t>
      </w:r>
      <w:bookmarkEnd w:id="11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ns2:paraId="30598A3A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AA3C3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5D542C1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6EBD1B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signal_h1/h2/h3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Señal de tendencia por horizonte temporal según umbrales de retorno y probabilidad calibrados.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ALCISTA indica oportunidad de compra con retorno esperado positivo y alta probabilidad; BAJISTA indica venta o espera; NEUTRAL indica zona de baja confianza.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confidence_h1/h2/h3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Nivel de confianza de la señal, basado en la probabilidad calibrada del clasificador.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Valores &gt;60% indican alta fiabilidad de la señal; 40-60% zona de cautela; &lt;40% señal no operativa.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expected_return_h1/h2/h3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Retorno porcentual esperado estimado por el regresor para cada horizonte.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Valor positivo indica retorno esperado alcista; negativo bajista. Se interpreta como fracción del precio actual.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prob_up_h1/h2/h3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Probabilidad calibrada de movimiento alcista según el clasificador.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Probabilidad de que el precio suba en el horizonte indicado. Umbral de referencia: 0.65 para señal alcista.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timing_label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Etiqueta de recomendación táctica consolidada.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Resumen ejecutivo de la acción recomendada según la alineación de horizontes y umbrales.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geo_risk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Indicador de riesgo geográfico alto basado en distancia a puertos y presión de combustible.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True indica que la provincia tiene alta fricción logística, lo que puede degradar la rentabilidad del arbitraje.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causal_drivers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Top 3 factores causales con dirección e intensidad que explican la señal.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Permite al usuario entender qué fundamentales están impulsando la recomendación.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card_text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Ficha de decisión completa en texto plano con resumen ejecutivo.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Documento legible para el operador que consolida la información de los 3 horizontes.</w:t>
            </w:r>
          </w:p>
        </w:tc>
      </w:tr>
    </w:tbl>
    <w:p ns2:paraId="550B7902" ns2:textId="22FA894B" w:rsidR="00CE24DC" w:rsidRDefault="00BB2B0B" w:rsidP="00BB2B0B">
      <w:pPr>
        <w:pStyle w:val="Descripcin"/>
        <w:jc w:val="center"/>
      </w:pPr>
      <w:bookmarkStart w:id="12" w:name="_Toc233977247"/>
      <w:bookmarkStart w:id="13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2"/>
      <w:bookmarkEnd w:id="13"/>
    </w:p>
    <w:p ns2:paraId="342E22E9" ns2:textId="77777777" w:rsidR="00CE24DC" w:rsidRPr="00BB2B0B" w:rsidRDefault="00000000" w:rsidP="00BB2B0B">
      <w:pPr>
        <w:pStyle w:val="Ttulo1"/>
        <w:jc w:val="left"/>
      </w:pPr>
      <w:bookmarkStart w:id="14" w:name="_Toc233976912"/>
      <w:r>
        <w:t>4. Cómo leo el resultado</w:t>
      </w:r>
      <w:bookmarkEnd w:id="14"/>
    </w:p>
    <w:p ns2:paraId="68FE0EAC" ns2:textId="77777777" w:rsidR="00CE24DC" w:rsidRDefault="00000000" w:rsidP="00BB2B0B">
      <w:pPr>
        <w:jc w:val="both"/>
      </w:pPr>
      <w:r>
        <w:t xml:space="preserve">Si para Burgos-trigo-junio-2026 el modelo devuelve H1: ALCISTA (confianza 72%, retorno esperado +2.1%), H2: NEUTRAL (confianza 51%, retorno +0.8%), H3: ALCISTA (confianza 68%, retorno +3.5%), se interpreta como una oportunidad de compra a corto y largo plazo, con zona de cautela en el medio plazo. La recomendación táctica consolidada sería COMPRA YA si H1 y H3 están alineados.</w:t>
      </w:r>
    </w:p>
    <w:p ns2:paraId="7585C801" ns2:textId="77777777" w:rsidR="00CE24DC" w:rsidRDefault="00CE24DC" w:rsidP="00BB2B0B">
      <w:pPr>
        <w:jc w:val="both"/>
      </w:pPr>
    </w:p>
    <w:p ns2:paraId="2856C14E" ns2:textId="77777777" w:rsidR="00CE24DC" w:rsidRDefault="00000000" w:rsidP="00BB2B0B">
      <w:pPr>
        <w:jc w:val="both"/>
      </w:pPr>
      <w:r>
        <w:t xml:space="preserve">El error absoluto medio en retorno porcentual oscila entre 5.1% (H1) y 10.1% (H3). Una diferencia inferior a 5 puntos porcentuales en la estimación del retorno no es estadísticamente significativa dado la volatilidad del mercado cerealista. El modelo acierta la dirección del movimiento en el 56-63% de los casos según el horizonte.</w:t>
      </w:r>
    </w:p>
    <w:p ns2:paraId="23429964" ns2:textId="77777777" w:rsidR="00CE24DC" w:rsidRDefault="00CE24DC"/>
    <w:p ns2:paraId="4D0352D1" ns2:textId="77777777" w:rsidR="00CE24DC" w:rsidRPr="00BB2B0B" w:rsidRDefault="00000000" w:rsidP="00BB2B0B">
      <w:pPr>
        <w:pStyle w:val="Ttulo1"/>
        <w:jc w:val="left"/>
      </w:pPr>
      <w:bookmarkStart w:id="15" w:name="_Toc233976913"/>
      <w:r>
        <w:t>5. Cuándo debo revisar manualmente</w:t>
      </w:r>
      <w:bookmarkEnd w:id="15"/>
    </w:p>
    <w:p ns2:paraId="2053022C" ns2:textId="77777777" w:rsidR="00CE24DC" w:rsidRDefault="00000000">
      <w:r>
        <w:t xml:space="preserve">•  Cuando la confianza de la señal es inferior al 65% (zona neutral), no ejecutar operaciones basadas únicamente en la recomendación del modelo.</w:t>
      </w:r>
    </w:p>
    <w:p ns2:paraId="2053022C" ns2:textId="77777777" w:rsidR="00CE24DC" w:rsidRDefault="00000000">
      <w:r>
        <w:t xml:space="preserve">•  En periodos de alta volatilidad geopolítica o cambios regulatorios, la supervisión humana experta es obligatoria para filtrar la señal técnica.</w:t>
      </w:r>
    </w:p>
    <w:p ns2:paraId="2053022C" ns2:textId="77777777" w:rsidR="00CE24DC" w:rsidRDefault="00000000">
      <w:r>
        <w:t xml:space="preserve">•  Verificar que la combinación provincia-cereal-mes consultada tiene representación en el dataset histórico; en caso contrario, la señal puede ser poco fiable.</w:t>
      </w:r>
    </w:p>
    <w:p ns2:paraId="2053022C" ns2:textId="77777777" w:rsidR="00CE24DC" w:rsidRDefault="00000000">
      <w:r>
        <w:t xml:space="preserve">•  Cuando los 3 horizontes no están alineados (mezcla de ALCISTA/BAJISTA/NEUTRAL), no tomar decisión sin análisis adicional del contexto de mercado.</w:t>
      </w:r>
    </w:p>
    <w:p ns2:paraId="04A0CF39" ns2:textId="77777777" w:rsidR="00CE24DC" w:rsidRDefault="00CE24DC"/>
    <w:p ns2:paraId="283A7D53" ns2:textId="77777777" w:rsidR="00CE24DC" w:rsidRPr="00BB2B0B" w:rsidRDefault="00000000" w:rsidP="00BB2B0B">
      <w:pPr>
        <w:pStyle w:val="Ttulo1"/>
        <w:jc w:val="left"/>
      </w:pPr>
      <w:bookmarkStart w:id="16" w:name="_Toc233976914"/>
      <w:r>
        <w:lastRenderedPageBreak/>
        <w:t>6. Qué no hace el modelo</w:t>
      </w:r>
      <w:bookmarkEnd w:id="16"/>
    </w:p>
    <w:p ns2:paraId="36E72011" ns2:textId="77777777" w:rsidR="00CE24DC" w:rsidRDefault="00000000">
      <w:r>
        <w:t xml:space="preserve">•  No sustituye la experiencia del comprador senior ni el juicio del departamento de riesgos.</w:t>
      </w:r>
    </w:p>
    <w:p ns2:paraId="36E72011" ns2:textId="77777777" w:rsidR="00CE24DC" w:rsidRDefault="00000000">
      <w:r>
        <w:t xml:space="preserve">•  No garantiza la ejecución de la operación al precio predicho; el precio real depende de la liquidez del mercado y costes logísticos.</w:t>
      </w:r>
    </w:p>
    <w:p ns2:paraId="36E72011" ns2:textId="77777777" w:rsidR="00CE24DC" w:rsidRDefault="00000000">
      <w:r>
        <w:t xml:space="preserve">•  No anticipa eventos de impacto inmediato (cisnes negros, decisiones gubernamentales, fenómenos meteorológicos extremos).</w:t>
      </w:r>
    </w:p>
    <w:p ns2:paraId="36E72011" ns2:textId="77777777" w:rsidR="00CE24DC" w:rsidRDefault="00000000">
      <w:r>
        <w:t xml:space="preserve">•  No gestiona inventarios ni automatiza compras; es una herramienta de soporte a la decisión.</w:t>
      </w:r>
    </w:p>
    <w:p ns2:paraId="36E72011" ns2:textId="77777777" w:rsidR="00CE24DC" w:rsidRDefault="00000000">
      <w:r>
        <w:t xml:space="preserve">•  No reemplaza la monitorización continua de precios reales publicados por el MAPA.</w:t>
      </w:r>
    </w:p>
    <w:p ns2:paraId="3A0ADEDC" ns2:textId="77777777" w:rsidR="00CE24DC" w:rsidRDefault="00CE24DC"/>
    <w:p ns2:paraId="4E1464CE" ns2:textId="77777777" w:rsidR="00CE24DC" w:rsidRPr="00BB2B0B" w:rsidRDefault="00000000" w:rsidP="00BB2B0B">
      <w:pPr>
        <w:pStyle w:val="Ttulo1"/>
        <w:jc w:val="left"/>
      </w:pPr>
      <w:bookmarkStart w:id="17" w:name="_Toc233976915"/>
      <w:r>
        <w:t>7. Puede equivocarse</w:t>
      </w:r>
      <w:bookmarkEnd w:id="17"/>
    </w:p>
    <w:p ns2:paraId="7F6C063A" ns2:textId="77777777" w:rsidR="00CE24DC" w:rsidRDefault="00000000">
      <w:r>
        <w:t xml:space="preserve">Sí, el modelo puede equivocarse. En el periodo de test (2021-2025, incluyendo la crisis de Ucrania 2022), el AUC oscila entre 0.71 y 0.75 y la dirección se acierta en el 56-63% de los casos. Esto significa que aproximadamente 1 de cada 3 señales directionales puede ser errónea. El modelo es una ayuda a la decisión, no una garantía de rentabilidad. Se recomienda aplicar un buffer prudencial del 1-2% sobre cualquier oportunidad de arbitraje.</w:t>
      </w:r>
    </w:p>
    <w:p ns2:paraId="6E37E5A4" ns2:textId="77777777" w:rsidR="00CE24DC" w:rsidRDefault="00CE24DC"/>
    <w:p ns2:paraId="7171A71B" ns2:textId="77777777" w:rsidR="00CE24DC" w:rsidRPr="00BB2B0B" w:rsidRDefault="00000000" w:rsidP="00BB2B0B">
      <w:pPr>
        <w:pStyle w:val="Ttulo1"/>
        <w:jc w:val="left"/>
      </w:pPr>
      <w:bookmarkStart w:id="18" w:name="_Toc233976916"/>
      <w:r>
        <w:t xml:space="preserve">8. KPIs del modelo</w:t>
      </w:r>
      <w:bookmarkEnd w:id="18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ns2:paraId="722801F3" ns2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024B19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BEC927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378CF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AUC-ROC (Filtro de falsas alarmas)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0.70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Capacidad del modelo para distinguir señales alcistas reales de fluctuaciones irrelevantes. Supera el umbral en los 3 horizontes (0.71-0.75).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Pearson R (Captura de tendencia)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0.30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Correlación entre retorno predicho y real. Cumple el umbral en H1 (0.38), está en el límite en H2 (0.27) y por debajo en H3 (0.21), aceptable dado el protocolo de Blacklist Nuclear.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Direction Accuracy (DA)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&gt; 55%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Porcentaje de aciertos directionales. Supera el umbral en los 3 horizontes (55.9-62.5%), con H3 como el más preciso para planificación estratégica.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Tiempo de inferencia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&lt; 1s individual, &lt; 5s batch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Velocidad de respuesta del motor de predicción. Cumple holgadamente en hardware estándar.</w:t>
            </w:r>
          </w:p>
        </w:tc>
      </w:tr>
    </w:tbl>
    <w:p ns2:paraId="45F4C421" ns2:textId="79EF27F4" w:rsidR="00CE24DC" w:rsidRDefault="00BB2B0B" w:rsidP="00BB2B0B">
      <w:pPr>
        <w:pStyle w:val="Descripcin"/>
        <w:jc w:val="center"/>
      </w:pPr>
      <w:bookmarkStart w:id="19" w:name="_Toc233977248"/>
      <w:bookmarkStart w:id="20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9"/>
      <w:bookmarkEnd w:id="20"/>
    </w:p>
    <w:p ns2:paraId="5A151328" ns2:textId="77777777" w:rsidR="00CE24DC" w:rsidRPr="00BB2B0B" w:rsidRDefault="00000000" w:rsidP="00BB2B0B">
      <w:pPr>
        <w:pStyle w:val="Ttulo1"/>
        <w:jc w:val="left"/>
      </w:pPr>
      <w:bookmarkStart w:id="21" w:name="_Toc233976917"/>
      <w:r>
        <w:lastRenderedPageBreak/>
        <w:t>9. Limitaciones conocidas</w:t>
      </w:r>
      <w:bookmarkEnd w:id="2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ns2:paraId="1F18AF22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8CD852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753A61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Sesgo de agregación institucional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modelo aprende el precio medio provincial a partir de fuentes MAPA, ignorando dispersiones intraprovinciales. La predicción refleja una tendencia macro, no precios puntuales de mercado.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Blacklist Nuclear — ceguera técnica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La exclusión de lags de precio impide capturar rebotes técnicos de corto plazo. El modelo es resiliente pero menos reactivo a movimientos de inercia del mercado.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Sesgo geográfico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Optimizado para provincias con mayor peso histórico en el dataset. En regiones con baja liquidez o dinámicas no representadas, la precisión se degrada por extrapolación.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Dependencia energética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Asume que costes de insumos (Urea, Gas) y futuros internacionales son los motores primarios. Una ruptura estructural en esta jerarquía podría generar drift silencioso.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Disrupciones intrapublicación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Eventos de impacto inmediato (cisnes negros) ocurridos entre dos cortes mensuales de datos no serán capturados hasta el siguiente ciclo ETL.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Intervencionismo político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No anticipa decisiones gubernamentales discretas (precios máximos, aranceles, prohibiciones de exportación) que rompan la dinámica de oferta-demandada aprendida.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Requiere reentrenamiento ante cambio de régimen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Si las correlaciones históricas se invalidan permanentemente, el modelo deja de ser fiable hasta un reentrenamiento con datos actualizados.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Mercados sin contrapartida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En meses de inactividad física del mercado, la salida teórica puede ser coherente pero la ejecución real imposible por falta de liquidez.</w:t>
            </w:r>
          </w:p>
        </w:tc>
      </w:tr>
    </w:tbl>
    <w:p ns2:paraId="1FA4B2C9" ns2:textId="4B35F67D" w:rsidR="00CE24DC" w:rsidRDefault="00BB2B0B" w:rsidP="00BB2B0B">
      <w:pPr>
        <w:pStyle w:val="Descripcin"/>
        <w:jc w:val="center"/>
      </w:pPr>
      <w:bookmarkStart w:id="22" w:name="_Toc233977249"/>
      <w:bookmarkStart w:id="23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22"/>
      <w:bookmarkEnd w:id="23"/>
    </w:p>
    <w:p ns2:paraId="0C6B9E4B" ns2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ns2:paraId="17A44B7C" ns2:textId="77777777" w:rsidR="00CE24DC" w:rsidRDefault="00CE24DC"/>
    <w:p ns2:paraId="14F09C48" ns2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D5" w14:textId="77777777" w:rsidR="00040F6B" w:rsidRDefault="00040F6B">
      <w:pPr>
        <w:spacing w:after="0" w:line="240" w:lineRule="auto"/>
      </w:pPr>
      <w:r>
        <w:separator/>
      </w:r>
    </w:p>
  </w:endnote>
  <w:endnote w:type="continuationSeparator" w:id="0">
    <w:p w14:paraId="6E9DA003" w14:textId="77777777" w:rsidR="00040F6B" w:rsidRDefault="000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1CD90C-0EAE-4C1E-A92C-7BEB2514916E}"/>
    <w:embedBold r:id="rId2" w:fontKey="{0575158B-D3C8-43A5-89E1-0C65A93278DA}"/>
    <w:embedBoldItalic r:id="rId3" w:fontKey="{997AD909-E946-405B-895E-A93F4C3F10E4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E6D803C-9E50-46CC-8A8C-F059BAB562D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E439A28-0E79-4F48-950B-2E6105B41A93}"/>
    <w:embedBold r:id="rId6" w:fontKey="{2E519631-8783-4E54-9695-19B013B1DC6C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B111" w14:textId="77777777" w:rsidR="00040F6B" w:rsidRDefault="00040F6B">
      <w:pPr>
        <w:spacing w:after="0" w:line="240" w:lineRule="auto"/>
      </w:pPr>
      <w:r>
        <w:separator/>
      </w:r>
    </w:p>
  </w:footnote>
  <w:footnote w:type="continuationSeparator" w:id="0">
    <w:p w14:paraId="34377D82" w14:textId="77777777" w:rsidR="00040F6B" w:rsidRDefault="000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m21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cereal-price-spatial-arbitrage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2026-07-03T11:22:00Z</dcterms:created>
  <dcterms:modified xsi:type="dcterms:W3CDTF">2026-07-03T11:22:00Z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