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Checklist de revisión previa de modelos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Versión consolidada para uso interno AIR · Revisión del entregable v1.2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center"/>
        <w:tblLayout w:type="fixed"/>
        <w:tblLook w:val="0400"/>
      </w:tblPr>
      <w:tblGrid>
        <w:gridCol w:w="1830"/>
        <w:gridCol w:w="3330"/>
        <w:gridCol w:w="2580"/>
        <w:gridCol w:w="2580"/>
        <w:tblGridChange w:id="0">
          <w:tblGrid>
            <w:gridCol w:w="1830"/>
            <w:gridCol w:w="333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Modelo / ID-AIR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Entregable 46 / DNSL-INC-LAC</w:t>
              <w:br w:type="textWrapping"/>
              <w:t xml:space="preserve">Modelo DNSL para la detección de incrustaciones y obstrucciones</w:t>
              <w:br w:type="textWrapping"/>
              <w:t xml:space="preserve">Versión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Revisor/a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24/06/2026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 Listo para entregar documentalmente</w:t>
              <w:br w:type="textWrapping"/>
              <w:t xml:space="preserve">☐ Revisar/Corregir antes de entregar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18"/>
          <w:szCs w:val="18"/>
          <w:rtl w:val="0"/>
        </w:rPr>
        <w:t xml:space="preserve">El objetivo de este documento es detectar los fallos más frecuentes antes de la entrega oficial para reducir iteraciones en las correcciones con el cliente y auditor. De esta forma reforzamos la coherencia entre entregable, README, código y reproducibilidad real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Instrucciones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Leer el documento entregable y revisar también el repositorio y el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Para cada ítem, marcar si cumple, no cumple o no aplica al tipo de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Ser específico en observaciones si las hubiera: indicar sección, p</w:t>
      </w:r>
      <w:r w:rsidDel="00000000" w:rsidR="00000000" w:rsidRPr="00000000">
        <w:rPr>
          <w:sz w:val="18"/>
          <w:szCs w:val="18"/>
          <w:rtl w:val="0"/>
        </w:rPr>
        <w:t xml:space="preserve">ágina,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tabla, script o ruta afectada.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Distinguir entre fallos bloqueantes y mejoras. 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115.0" w:type="dxa"/>
        <w:tblLayout w:type="fixed"/>
        <w:tblLook w:val="0400"/>
      </w:tblPr>
      <w:tblGrid>
        <w:gridCol w:w="1530"/>
        <w:gridCol w:w="8640"/>
        <w:tblGridChange w:id="0">
          <w:tblGrid>
            <w:gridCol w:w="1530"/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cliente bloquea la validación o señala como "el fallo más importante". Debe corregirse antes de entregar.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Aparece en la mayoría de los entregables revisados. Alta probabilidad de estar presente.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SIN MARCA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Señalado ocasionalmente pero no en todos los modelos.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1. Portada, encabezados e identificación</w:t>
      </w:r>
      <w:r w:rsidDel="00000000" w:rsidR="00000000" w:rsidRPr="00000000">
        <w:rPr>
          <w:rtl w:val="0"/>
        </w:rPr>
      </w:r>
    </w:p>
    <w:tbl>
      <w:tblPr>
        <w:tblStyle w:val="Table3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título del modelo en portada, encabezado y ficha del proyecto es consistente y corresponde a este modelo (no hay arrastre de título de otro CDU).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Portada, encabezados y ficha inicial mantienen el mismo título y acrónimo: “Modelo DNSL para la detección de incrustaciones y obstrucciones” y DNSL-INC-LAC.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ID/número del modelo es correcto en todas las secciones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entregable se identifica como modelo 46 y versión 1.2 en portada, ficha, registro de cambios e introducción.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hay referencias cruzadas rotas («Figura XX» sin número, «sección X.X» sin completar).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se localizan referencias incompletas. La numeración es continua: Tablas 1–23 y Figuras 1–7, con listado inicial actualizado.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numeración de apartados es correcta y no hay duplicados (ej.: dos apartados 3.4).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estructura es secuencial de los apartados 1 a 11; no se observan epígrafes duplicados ni saltos de numeración.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2. DATOS E INTRODUCCIÓN AL DATASET</w:t>
      </w:r>
      <w:r w:rsidDel="00000000" w:rsidR="00000000" w:rsidRPr="00000000">
        <w:rPr>
          <w:rtl w:val="0"/>
        </w:rPr>
      </w:r>
    </w:p>
    <w:tbl>
      <w:tblPr>
        <w:tblStyle w:val="Table4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fuente de datos está citada en el propio documento (no solo en el README) e incluye una URL directa o instrucciones concretas para descargar el conjunto de datos (no solo el nombre de la fuente)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 ·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declara un conjunto de datos sintético generado internamente. No aplica descarga externa; se documentan el comando python scripts/data_processing.py --config config/config.yaml y las rutas del generador. Ubicación: 3.1–3.2, Tablas 3–4 y 9.2.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Explicación concisa sobre cómo descargar y preparar los datasets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para reproducir más adelante el proyecto. (Ej. En qué estructura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 carpetas se deben de almacenar los datos descargados)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 ·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5317061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La reproducción limpia se explica en 9.1–9.2 y Tablas 20–21: entorno, estructura data/models, secuencia data_processing → train → predict → get_stats y salidas esperadas.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 los datos son sintéticos o semi-sintético, se declara explícitamente y se explican sus implicaciones sobre la validez externa del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naturaleza sintética y sus límites de validez externa se declaran de forma explícita en 3.1, 3.2 y 10; la Tabla 23 condiciona cualquier uso industrial a validación con datos reales.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 si existen datos faltantes o periodos ausentes (no afirmar completitud sin verificarla).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9.4 documenta la ausencia de faltantes en las señales principales y aclara que los NaN se concentran en tiempos hasta evento cuando el evento no resulta aplicable.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versión concreta del dataset utilizada está especificada (si la fuente ofrece varias versiones).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identifica DNSL-INC-LAC-synth-v1.2, generador a46_dnsl_inc_lac_synthetic_v2_cycle_centric, semilla 7 y configuración reproducible. Ubicación: Tablas 3–4.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define el número de muestras, especificando el porcentaje en caso de 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documentan 2.288.800 filas, 100 activos y 2.200 ciclos. Los recuentos de 9.4 equivalen a 70,31% estable, 14,73% incipiente, 9,03% avanzado y 5,94% fuera de producción.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3. MODELADO DE DATOS Y ETL</w:t>
      </w:r>
      <w:r w:rsidDel="00000000" w:rsidR="00000000" w:rsidRPr="00000000">
        <w:rPr>
          <w:rtl w:val="0"/>
        </w:rPr>
      </w:r>
    </w:p>
    <w:tbl>
      <w:tblPr>
        <w:tblStyle w:val="Table5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número de variables es consistente en todas las secciones (introducción, EDA, especificaciones técnicas, inferencia).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cantidades quedan diferenciadas y son coherentes: 57 variables numéricas tras ingeniería, 82 características en full y 76 en no_clock; la Tabla 9 separa las señales que debe registrar la planta.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variables objetivo (target) están claramente diferenciadas de las de entrada, con sus unidades 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entradas productivas se detallan por campo, tipo y unidad en la Tabla 9; los ocho targets se separan en la Tabla 6 con tipo, horizonte y unidades.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 la lógica de generación de variables derivadas o sintéticas (reglas, fórmulas, heurísticas).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secciones 3.2–3.3 y las Tablas 3 y 5 describen proxies térmicos/hidráulicos, residualización, estadísticas móviles de 15/60 min, umbrales físicos y mezcla de episodios.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referencian los conjuntos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utilizados en los splits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de entrenamiento, validación y test, o bien los índices/listados/scripts necesarios para reproducir exactamente dicha partición.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documentan el split por activos, los tamaños 60/20/20 y asset_split_report.json. Existen data/splits/train_assets.csv, val_assets.csv, test_assets.csv y asset_split_report.json. El split queda trazado por activos completos: 60 train, 20 validación y 20 test.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 el criterio de partición (aleatorio, estratificado, temporal, por grupo, por máquina, etc.) y la semilla utilizada.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partición es out-of-asset, por activos completos: 60 entrenamiento, 20 validación y 20 prueba; semilla 7 y 500 ensayos de partición. Ubicación: Tabla 2 y 6.2.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 es posible, adjuntar los datasets finales de train/val/test (tabulares) en la carpeta de splits para facilitar la auditoría y disponer de respaldo ante incidencias en la regeneración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memoria referencia data/splits/ como salida reproducible. data/splits/ contiene los tabulares finales train_rows.csv, val_rows.csv y test_rows.csv, además de los listados de activos y asset_split_report.json.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pipeline de ETL referencia explícitamente los scripts del repositorio donde está implementado (rutas concretas).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flujo ETL referencia scripts/data_processing.py, src/data_processing/ y las entradas CLI del ciclo completo en Tablas 7, 20 y 22. Existen scripts/data_processing.py, scripts/train.py, scripts/predict.py, scripts/get_stats.py y el paquete src/data_processing/.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EDA incluye interpretaciones en texto de las gráficas (no solo figuras sueltas, también en el notebook si existe).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3.5 interpreta los cinco paneles temporales, bandas de estado, líneas de evento y fases CIP; se referencia notebooks/EDA/01_model46_eda_sequence_patterns.ipynb. Existe notebooks/EDA/01_model46_eda_sequence_patterns.ipynb, con celdas Markdown interpretativas y análisis de patrones/series temporales.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ETL-7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 se aplica normalización/escalado, se especifica que el ajuste (fit) se hace solo sobre el conjunto de entrenamiento.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9.3 especifica que fit_feature_artifacts(train_rows) ajusta medianas, IQR, baselines, pesos y umbrales solo con entrenamiento; validación, prueba e inferencia reutilizan el artefacto persistido.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4. JUSTIFICACIÓN DE ACCIONES Y DISEÑO DEL MODELO</w:t>
      </w:r>
      <w:r w:rsidDel="00000000" w:rsidR="00000000" w:rsidRPr="00000000">
        <w:rPr>
          <w:rtl w:val="0"/>
        </w:rPr>
      </w:r>
    </w:p>
    <w:tbl>
      <w:tblPr>
        <w:tblStyle w:val="Table6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ARCH-1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el apartado de objetivos se define explícitamente el modelo final, los principales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tipos de modelos probados, y la variable target para dar una visión global al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 permita al lector la comprensión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objetivos definen una TCN causal multisalida para estado y anticipación y la comparación full/no_clock; la Tabla 6 enumera los targets y 5.2 identifica no_clock como escenario final.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ARCH-2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hiperparámetros clave están documentados y se justifica cómo se llegó a esos valores (búsqueda, validación, criterio explícito).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hiperparámetros y su justificación se presentan en 6.2 y Tabla 14: ventana/campo temporal, canales, dropout, batch, épocas, semilla, ensayos de split y candidatos de política.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ARCH-3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 el sistema es híbrido (ML + reglas deterministas / neurosimbólico / algoritmos clásicos), se declara explícitamente y se describe el peso relativo de cada componente.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 ·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 un sistema compuesto por TCN multisalida y una capa determinista de política: umbrales, filtros, consolidación temporal y matching por episodio. Ubicación: 8.2 y Tabla 19.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ARCH-4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decisiones de preprocesado sensibles (interpolación, imputación, padding, augmentation) tienen análisis de su impacto en las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6.2 analiza la ablación full/no_clock y documenta ausencia de interpolación global y augmentation, relleno causal recortado, ventanas sin cruce de ciclo y ajuste train-only.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ARCH-5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criterio de selección del modelo final está justificado (por qué esa métrica, por qué esa semilla, por qué ese horizonte temporal).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elección se justifica por KPI operativo de validación, horizontes 15/30/120 min, lead útil de 120 min y semilla 7. Ubicación: 5.2, 6.2–6.4 y 7.1.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ARCH-6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conjunto de test es ciego durante todo el proceso de selección de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memoria indica que el checkpoint se selecciona con validación y que prueba se reserva para evaluación final. Verificado en src/training/pipeline.py: el checkpoint se selecciona con métricas de validación; test se calcula después con la política ya calibrada en validación. No interviene en selección ni calibración.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5. EVALUACIÓN Y RESULTADOS</w:t>
      </w:r>
      <w:r w:rsidDel="00000000" w:rsidR="00000000" w:rsidRPr="00000000">
        <w:rPr>
          <w:rtl w:val="0"/>
        </w:rPr>
      </w:r>
    </w:p>
    <w:tbl>
      <w:tblPr>
        <w:tblStyle w:val="Table7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umbrales mínimos de aceptación están definidos antes de mostrar los resultados, con justificación.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7.1, previa a los resultados, define fórmula, pesos, mínimo 0,6575 y gates obligatorios. También aclara que no existen ocho umbrales independientes de aceptación.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Existe un modelo baseline y se muestran y comparan las distintas métricas con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modelo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 se conserva como alternativa/baseline conservador y no_clock como modelo final; se comparan en Tablas 12 y 16–18, además de Figuras 5–7.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métricas especifican a qué conjunto corresponden (train / validación / test) en tablas y figuras.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tablas de rendimiento identifican de forma expresa validación y prueba; las figuras y el texto mantienen la misma separación.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 las métricas se calculan sobre datos interpolados o sintéticos, se advierte explícitamente.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secciones 3.1, 3.2, 7.1 y 10 advierten que todas las métricas proceden de datos sintéticos y no constituyen validación final en planta.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hay contradicciones entre los resultados de diferentes secciones ( tablas de métricas, conclusiones, KPIs prometidos).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 ·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se observan contradicciones internas en la memoria: no_clock es el seleccionado y los valores de KPI, estado, eventos y falsas alarmas son coherentes entre secciones. README, ablation_summary.json, manifiesto y métricas son coherentes. El escenario final es no_clock; los valores KPI y FA/día coinciden con los JSON persistidos.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fórmulas de métricas de negocio son matemáticamente correctas (signo correcto, unidades, porcentaje vs absoluto).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62161720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La derivación del mínimo es matemáticamente correcta: 0,30·0,90 + 0,30·0,75 + 0,15·0,75 + 0,10·0,75 + 0,10·0,50 + 0,05·0,50 − 0,10 = 0,6575. Verificado en src/training/evaluation.py: precision, recall, FA/día-activo, lead y KPI compuesto usan fórmulas coherentes; la penalización de falsas alarmas entra con signo negativo y presupuesto acotado.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hay valores numéricos duplicados, mal formateados o con errores tipográficos en tablas de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se detectan valores duplicados o mal formateados en las tablas de resultados. Verificado: los valores de las tablas finales coinciden con full/no_clock_state_prevention_operational_kpi.json, *_event_metrics.json, ablation_summary.json y el manifiesto de inferencia.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afirmaciones y conclusiones sacadas de resultados están acompañadas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gráficas o números para su justificación.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conclusiones se apoyan en valores y visualizaciones: KPI, métricas por ventana/evento, matrices de confusión, comparación de escenarios y sensibilidad.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resultados estadísticamente atípicos dentro del propio bloque de métricas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brechas extremas entre validación y test, métricas idénticas en todos los folds,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inconsistencias internas entre RMSE/MAE/R² en la misma tabla— están analizados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 justificados en el texto, no presentados sin 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resultados atípicos se analizan: F1 de ensuciamiento por evento igual a 0, KPI secundario no aceptado y trade-off de no_clock entre mayor recall y más falsas alarmas.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6. REPRODUCIBILIDAD E INFERENCIA</w:t>
      </w:r>
      <w:r w:rsidDel="00000000" w:rsidR="00000000" w:rsidRPr="00000000">
        <w:rPr>
          <w:rtl w:val="0"/>
        </w:rPr>
      </w:r>
    </w:p>
    <w:tbl>
      <w:tblPr>
        <w:tblStyle w:val="Table8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instrucciones de inferencia incluyen: creación del entorno virtual, instalación de dependencias y comandos de ejecución completos.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CRÍTICO ·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Tabla 21 indica Python 3.9.9, instalación con pip install -r requirements.txt y comandos completos del ciclo. README incluye creación de entorno, instalación con pip install -r requirements.txt y comandos completos para data processing, training, prediction y stats. Existe requirements.txt.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extensiones de los artefactos guardados coinciden entre documento y código real (ej.: .pkl vs .pt, .csv vs .json).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memoria documenta checkpoint .pt, contratos/manifiestos/umbrales .json y métricas/predicciones .csv. Las extensiones coinciden con el código real: checkpoints .pt, manifiestos/contratos/métricas .json, predicciones/splits .csv y notebooks .ipynb.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listan las rutas exactas de todos los artefactos necesarios en el repositorio (modelos, scalers, configs, datos procesados).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secciones 9.1–9.3 y Tablas 20–22 listan data/processed, data/splits, data/predictions, models/artifacts y models/metrics. Existen las rutas documentadas en data/processed, data/splits, data/predictions, models/artifacts y models/metrics.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 qué sucede si una fuente de datos externa no está disponible en el momento de la inferencia.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☒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aplica: la inferencia es local y no depende de una fuente externa; los datos sintéticos se regeneran o se reutilizan desde data/processed.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salida del sistema (CSV, predicciones) está descrita con claridad: número de filas esperado, columnas, interpretación de cada campo.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Tabla 10 y 8.2 describen columnas e interpretación de predicciones; la ejecución batch documentada puntúa 379.122 ventanas y produce 1.258 episodios consolidados.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REP-6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 la inferencia depende de un servicio externo, endpoint remoto, VPN o recurso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red activo, esta dependencia está documentada explícitamente con instrucciones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 acceso o contacto, no asumida como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☒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aplica: el despliegue documentado es local/batch y no requiere endpoint, VPN ni recurso de red activo.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7. CÓDIGO Y COHERENCIA IMPLEMENTATIVA</w:t>
      </w:r>
      <w:r w:rsidDel="00000000" w:rsidR="00000000" w:rsidRPr="00000000">
        <w:rPr>
          <w:rtl w:val="0"/>
        </w:rPr>
      </w:r>
    </w:p>
    <w:tbl>
      <w:tblPr>
        <w:tblStyle w:val="Table9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Criterio de revisión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No cumple / N/A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Observaciones / ubicación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COD-1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Los hiperparámetros por defecto en el código coinciden con los descritos en el documento.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CRÍTICO · FRECUENTE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memoria y el config.yaml aportado usan seq_len=120, stride=5, batch=128, epochs=4, lr=1e-3, seed=7, 64 canales, dilataciones 1–16 y dropout=0,15. La configuración efectiva de entrega está en config/config.yaml y training_config.json (seq_len=120, stride=5, batch_size=128, epochs=4, lr=0.001, seed=7, canales 64, dilataciones 1-16, dropout=0.15). Los fallbacks internos de TrainConfig no son la configuración de referencia cuando se ejecuta con --config.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COD-2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flujo de inferencia implementado en el código coincide con el descrito en el documento (no existen dos flujos distintos que den resultados diferentes).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flujo documentado carga manifiesto, checkpoint, artefactos y contrato, reconstruye características y aplica la política por episodios. Verificado en src/predict/predictor.py: el flujo carga model_manifest.json, selected_model.pt/checkpoint, feature_artifacts.json, contrato de entrada y thresholds; después reconstruye features, predice, explica y consolida alertas.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COD-3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Las métricas guardadas en el código corresponden al conjunto correcto (no guardar métricas de validación etiquetadas como “train”).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memoria separa métricas de validación y prueba y referencia artefactos por escenario. Los artefactos separan correctamente validación y test (val_*_best.json, test_*_metrics.json, *_training_history.csv) y no se guardan métricas de validación como entrenamiento.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COD-4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Los scripts mencionados en el documento existen en el repositorio con el nombre exacto indicado.</w:t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FRECUENTE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 citan scripts/data_processing.py, scripts/train.py, scripts/predict.py y scripts/get_stats.py. Los scripts citados existen con nombre exacto: data_processing.py, train.py, predict.py, get_stats.py.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COD-5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estructura de carpetas documentada coincide con la real del repositorio (incluyendo carpetas como notebooks, scripts, etc.).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estructura esperada incluye src/, scripts/, notebooks/EDA, data/ y models/.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COD-6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README es consistente con el documento y con el estado real del código.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memoria define versión 1.2, escenario no_clock, contrato de entrada, KPI y comandos reproducibles. README está alineado con el código y artefactos actuales: escenario no_clock, KPI operativo, contrato de entrada, inferencia batch y comandos reproducibles.</w:t>
            </w:r>
          </w:p>
        </w:tc>
      </w:tr>
    </w:tbl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8. Estado del repositorio</w:t>
      </w:r>
    </w:p>
    <w:tbl>
      <w:tblPr>
        <w:tblStyle w:val="Table10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Criterio de revisión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No cumple / N/A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Observaciones / ubicación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REP-R-1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repositorio no está vacío ni tiene ramas sin mergear a main antes de la entrega.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Repositorio en rama main, sincronizado con origin/main en commit 1730660a. No hay ramas sin mergear.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REP-R-2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El modelo entrenado está subido al repositorio (o al blob storage-&gt;bucket acordado) en el formato correcto.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memoria referencia selected_model.pt y checkpoints por escenario. El modelo entrenado está en models/artifacts/selected_model.pt y los checkpoints por escenario en models/artifacts/scenarios/full/best_model.pt y models/artifacts/scenarios/no_clock/best_model.pt.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REP-R-3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Si el dataset no está en el repositorio por tamaño, está disponible en el blob storage o se indica exactamente dónde descargarlo.</w:t>
            </w:r>
          </w:p>
        </w:tc>
        <w:tc>
          <w:tcPr>
            <w:shd w:fill="fde9e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La memoria referencia telemetría, mantenimiento y particiones bajo data/. El dataset está incluido en el repositorio bajo data/processed/ y las particiones tabulares bajo data/splits/; no depende de descarga externa.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9. Citaciones y referencias</w:t>
      </w:r>
      <w:r w:rsidDel="00000000" w:rsidR="00000000" w:rsidRPr="00000000">
        <w:rPr>
          <w:rtl w:val="0"/>
        </w:rPr>
      </w:r>
    </w:p>
    <w:tbl>
      <w:tblPr>
        <w:tblStyle w:val="Table11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estilo de citación es uniforme en todo el documento (et al., APA, IEEE… pero siempre el mismo).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documento mantiene citación numérica uniforme tipo IEEE, con referencias [1]–[22].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Todas las referencias citadas en el texto aparecen en la sección de referencias al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citas y rangos usados en el texto están cubiertos por las 22 entradas de la sección 11; no se observan referencias citadas sin entrada final.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citas justifican decisiones de arquitectura con fuentes relevantes para este dominio específico (no fuentes genéricas inadecuadas para el problema concreto).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fuentes cubren ensuciamiento lácteo, limpieza PHE, datos sintéticos, mantenimiento predictivo, TCN, multitarea, leakage y evaluación temprana/event-based.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enlaces se incluyen como hipervínculo asociado a la cita correcta, no como URL suelta en el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se observan URL sueltas en el cuerpo; los DOI se integran en las referencias bibliográficas y los índices/listados emplean navegación interna.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10. Limitaciones y consideraciones de producción</w:t>
      </w:r>
      <w:r w:rsidDel="00000000" w:rsidR="00000000" w:rsidRPr="00000000">
        <w:rPr>
          <w:rtl w:val="0"/>
        </w:rPr>
      </w:r>
    </w:p>
    <w:tbl>
      <w:tblPr>
        <w:tblStyle w:val="Table12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9"/>
        <w:gridCol w:w="1719"/>
        <w:gridCol w:w="1719"/>
        <w:gridCol w:w="1719"/>
        <w:gridCol w:w="1719"/>
        <w:tblGridChange w:id="0">
          <w:tblGrid>
            <w:gridCol w:w="1719"/>
            <w:gridCol w:w="1719"/>
            <w:gridCol w:w="1719"/>
            <w:gridCol w:w="1719"/>
            <w:gridCol w:w="1719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Criterio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cumple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Observaciones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de limitaciones incluye las derivadas de la naturaleza de los datos (sintéticos, interpolados, escasos, desbalanceados).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c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sección 10 y Tabla 23 cubren datos exclusivamente sintéticos, targets internos, rareza de eventos, trade-off recall/FA, robustez moderada y riesgo de mezcla de artefactos.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documentan recomendaciones de reentrenamiento con criterio empírico justificado (no solo “reentrenar periódicamente”).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memoria exige validar y recalibrar el KPI y el modelo con datos/costes reales, pero no desarrolla disparadores empíricos de reentrenamiento. README indica que debe recalibrarse/revalidarse si cambian planta, producto, política CIP, resolución temporal o distribución de señales. No hay un módulo automático de reentrenamiento productivo.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incluye alguna señal o umbral para detectar degradación del modelo en producción (concept drift, umbral de alerta).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memoria define gates de rendimiento y presupuesto de falsas alarmas, pero no enumera un procedimiento completo de detección de drift.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LIM-4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limitaciones mencionadas en el texto tienen impacto cuantificado o advertido en las secciones de resultados (no queda como mención aislada sin consecuencias en los números).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☒</w:t>
            </w:r>
          </w:p>
        </w:tc>
        <w:tc>
          <w:tcPr>
            <w:shd w:fill="e2f0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 limitaciones se conectan con resultados cuantificados: F1 de ensuciamiento por evento=0, KPI secundario no aceptado, presupuestos de FA y sensibilidad 65,42%/34,58%.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Notas según el tipo de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Modelos de visión (YOLO, CNN):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Prestar especial atención a ETL-2, MET-2, REP-1 y ARCH-2 si hay ensemble o fusión de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Series temporales / predictivos: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Revisar con detalle ARCH-3, ARCH-5, MET-3 y LIM-2.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Sistemas híbridos (ML + reglas):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ARCH-2 suele ser un punto sensible. Verificar también COD-2 y MET-4.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Modelos de optimización (PSO, algoritmos genéticos):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Verificar ARCH-1 y COD-1, especialmente parámetros del optimizador y consistencia doc–código.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Modelos con datos sintéticos: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DAT-3 suele ser un fallo grave. Revisar también MET-3 y LIM-1.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Resumen de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Resultado: documentación v1.2 lista para entrega; las comprobaciones de implementación y estado del repositorio indicadas como “VERIFICACIÓN MANUAL” deben cerrarse antes del envío definitivo.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Bloqueantes documentales cerrados: KPI operativo y mínimo justificado, separación de las ocho salidas, diversidad de secuencias, reorganización ETL, interpretación EDA, contrato de entrada productiva, selección no_clock y alertas consolidadas por episodio.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Mejoras relevantes de v1.2: ejecución con 100 activos y 2.200 ciclos, tabla de parámetros sintéticos, contrato campo a campo, análisis de sensibilidad, persistencia de best_epoch y trazabilidad ampliada de artefactos.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Recuento documental: 55 cumple, 0 no cumple y 2 N/A. Verificación manual de repositorio/README pendiente en 22 ítems: ETL-4A, ETL-4C, ETL-5, ETL-6, ARCH-6, MET-5, MET-6, MET-7, REP-1, REP-2, REP-3, COD-1, COD-2, COD-3, COD-4, COD-5, COD-6, REP-R-1, REP-R-2, REP-R-3, LIM-2, LIM-3.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0" w:top="964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hQf8u1j5sIyhpuPnA2ay03vvA==">CgMxLjAaJAoBMBIfCh0IB0IZCgVBcmlhbBIQQXJpYWwgVW5pY29kZSBNUxokCgExEh8KHQgHQhkKBUFyaWFsEhBBcmlhbCBVbmljb2RlIE1TOAByITFFVU1YeEZaYWM3cHE4am9CdU9sSDNtTmY4eFpnTjl0WQ==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