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Pr>
          <w:rFonts w:ascii="Arial" w:cs="Arial" w:eastAsia="Arial" w:hAnsi="Arial"/>
          <w:b w:val="1"/>
          <w:bCs w:val="1"/>
          <w:i w:val="0"/>
          <w:iCs w:val="0"/>
          <w:smallCaps w:val="0"/>
          <w:strike w:val="0"/>
          <w:color w:val="000000"/>
          <w:sz w:val="44"/>
          <w:szCs w:val="44"/>
          <w:u w:val="none"/>
          <w:shd w:fill="auto" w:val="clear"/>
          <w:vertAlign w:val="baseline"/>
          <w:rtl w:val="0"/>
        </w:rPr>
        <w:t xml:space="preserve">Ficha de metadatos del modelo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Plantilla para el endpoint /stats  · ml6-meat-poultry-disease-classification</w:t>
      </w:r>
    </w:p>
    <w:p w:rsidR="00000000" w:rsidDel="00000000" w:rsidP="00000000" w:rsidRDefault="00000000" w:rsidRPr="00000000" w14:paraId="00000003">
      <w:pPr>
        <w:spacing w:after="120" w:lineRule="auto"/>
        <w:rPr>
          <w:b w:val="1"/>
          <w:bCs w:val="1"/>
          <w:color w:val="333333"/>
          <w:sz w:val="24"/>
          <w:szCs w:val="24"/>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Instrucciones</w:t>
      </w:r>
    </w:p>
    <w:p w:rsidR="00000000" w:rsidDel="00000000" w:rsidP="00000000" w:rsidRDefault="00000000" w:rsidRPr="00000000" w14:paraId="00000005">
      <w:pPr>
        <w:rPr/>
      </w:pPr>
      <w:r>
        <w:rPr>
          <w:rtl w:val="0"/>
        </w:rPr>
        <w:t xml:space="preserve">Rellena este documento por cada modelo entregado. La información que proporciones se usará para construir el </w:t>
      </w:r>
      <w:r>
        <w:rPr>
          <w:b w:val="1"/>
          <w:bCs w:val="1"/>
          <w:rtl w:val="0"/>
        </w:rPr>
        <w:t xml:space="preserve">endpoint GET /stats </w:t>
      </w:r>
      <w:r>
        <w:rPr>
          <w:rtl w:val="0"/>
        </w:rPr>
        <w:t xml:space="preserve">de la API, que es el que consume la plataforma Datagia para mostrar el listado de modelos disponibles.</w:t>
      </w:r>
    </w:p>
    <w:p w:rsidR="00000000" w:rsidDel="00000000" w:rsidP="00000000" w:rsidRDefault="00000000" w:rsidRPr="00000000" w14:paraId="00000006">
      <w:pPr>
        <w:pStyle w:val="Heading2"/>
        <w:spacing w:after="120" w:before="320" w:lineRule="auto"/>
        <w:rPr/>
      </w:pPr>
      <w:r>
        <w:rPr>
          <w:rtl w:val="0"/>
        </w:rPr>
        <w:t xml:space="preserve">1. Información general</w:t>
      </w:r>
    </w:p>
    <w:p w:rsidR="00000000" w:rsidDel="00000000" w:rsidP="00000000" w:rsidRDefault="00000000" w:rsidRPr="00000000" w14:paraId="00000007">
      <w:pPr>
        <w:rPr/>
      </w:pPr>
      <w:r>
        <w:rPr>
          <w:rtl w:val="0"/>
        </w:rPr>
        <w:t xml:space="preserve">Rellena todos los campos. La descripción es la que aparecerá visible en Datagia.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Pr>
                <w:b w:val="1"/>
                <w:bCs w:val="1"/>
                <w:color w:val="333333"/>
                <w:sz w:val="20"/>
                <w:szCs w:val="20"/>
                <w:rtl w:val="0"/>
              </w:rPr>
              <w:t xml:space="preserve">Nombre del modelo (model_key)</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Pr>
                <w:rtl w:val="0"/>
              </w:rPr>
              <w:t>ml6-meat-poultry-disease-classification</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Pr>
                <w:b w:val="1"/>
                <w:bCs w:val="1"/>
                <w:color w:val="333333"/>
                <w:sz w:val="20"/>
                <w:szCs w:val="20"/>
                <w:rtl w:val="0"/>
              </w:rPr>
              <w:t xml:space="preserve">Versión</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rPr/>
            </w:pPr>
            <w:r>
              <w:rPr>
                <w:rtl w:val="0"/>
              </w:rPr>
              <w:t>1.0.0</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Pr>
                <w:b w:val="1"/>
                <w:bCs w:val="1"/>
                <w:color w:val="333333"/>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Pr>
                <w:rtl w:val="0"/>
              </w:rPr>
              <w:t>Detección temprana de enfermedades en aves de galpón con dos ensembles de CNN por votación por mayoría: 'thermal' clasifica la imagen térmica del ave en sana/enferma y 'rgb' clasifica la imagen de sus heces en sana, coccidiosis, Newcastle o salmonelosis. Herramienta de apoyo a la decisión veterinaria.</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Pr>
                <w:b w:val="1"/>
                <w:bCs w:val="1"/>
                <w:color w:val="333333"/>
                <w:sz w:val="20"/>
                <w:szCs w:val="20"/>
                <w:rtl w:val="0"/>
              </w:rPr>
              <w:t xml:space="preserve">Tipo de tarea (task_type)</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rPr/>
            </w:pPr>
            <w:r>
              <w:rPr>
                <w:rtl w:val="0"/>
              </w:rPr>
              <w:t>image_classification_ensemble (binaria thermal + multiclase rgb, voto duro 3 modelos)</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Pr>
                <w:b w:val="1"/>
                <w:bCs w:val="1"/>
                <w:color w:val="333333"/>
                <w:sz w:val="20"/>
                <w:szCs w:val="20"/>
                <w:rtl w:val="0"/>
              </w:rPr>
              <w:t xml:space="preserve">Framework</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Pr>
                <w:rtl w:val="0"/>
              </w:rPr>
              <w:t>PyTorch 2.13 + torchvision 0.28 (DenseNet-121, EfficientNetV2-S, ResNet-50, VGG19-BN, EfficientNet-B7, MobileNetV3-L) · opencv (CLAHE) · scikit-learn (métricas)</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Pr>
                <w:b w:val="1"/>
                <w:bCs w:val="1"/>
                <w:color w:val="333333"/>
                <w:sz w:val="20"/>
                <w:szCs w:val="20"/>
                <w:rtl w:val="0"/>
              </w:rPr>
              <w:t xml:space="preserve">Fichero del artefacto</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Pr>
                <w:rtl w:val="0"/>
              </w:rPr>
              <w:t>6 state_dict de PyTorch en artifacts/ml6_meat_poultry_disease_classification/: densenet121.pt (28 MB), efficientnet_v2s.pt (82 MB), resnet50.pt (94 MB) para thermal; vgg19_bn.pt (558 MB), efficientnet_b7.pt (257 MB), mobilenet_v3l.pt (17 MB) para rgb. md5 idéntico a la entrega del equipo de IA.</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Objetivo del modelo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Detección temprana y no invasiva de enfermedades aviares en dos etapas: cribado sano/enfermo por termografía de todas las aves en los puntos de manejo individual, y diagnóstico de la patología (coccidiosis, Newcastle, salmonelosis) a partir de las heces del ave aislada. Objetivo de negocio declarado: reducir un 10 % los tratamientos veterinarios en galpón (no medido; requiere validación con datos reales antes de despliegue).</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Caso de uso principal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POST /predict con model_key='thermal' o 'rgb'. Inline: una imagen (image_base64 o image_path) → clase del ensemble, voto y softmax de cada modelo base. Batch: directorio o .zip de imágenes → una fila por imagen y, si las imágenes están en subcarpetas con el nombre de su clase, métricas por modelo y del ensemble. POST /train con task='thermal'|'rgb' reentrena los 3 modelos de ese ensemble con el procedimiento original (split 70/15/15, seed 42) y guarda el resultado solo en el run de MLflow indicado; /predict con ese mlflow_run_id lo usa.</w:t>
            </w:r>
          </w:p>
        </w:tc>
      </w:tr>
    </w:tbl>
    <w:p w:rsidR="00000000" w:rsidDel="00000000" w:rsidP="00000000" w:rsidRDefault="00000000" w:rsidRPr="00000000" w14:paraId="00000014">
      <w:pPr>
        <w:spacing w:before="280" w:lineRule="auto"/>
        <w:rPr/>
      </w:pPr>
      <w:r>
        <w:rPr>
          <w:rtl w:val="0"/>
        </w:rPr>
      </w:r>
    </w:p>
    <w:p w:rsidR="00000000" w:rsidDel="00000000" w:rsidP="00000000" w:rsidRDefault="00000000" w:rsidRPr="00000000" w14:paraId="00000015">
      <w:pPr>
        <w:pStyle w:val="Heading2"/>
        <w:spacing w:after="120" w:before="320" w:lineRule="auto"/>
        <w:rPr/>
      </w:pPr>
      <w:r>
        <w:rPr>
          <w:rtl w:val="0"/>
        </w:rPr>
        <w:t xml:space="preserve">2. Campos de entrada (inputs)</w:t>
      </w:r>
    </w:p>
    <w:p w:rsidR="00000000" w:rsidDel="00000000" w:rsidP="00000000" w:rsidRDefault="00000000" w:rsidRPr="00000000" w14:paraId="00000016">
      <w:pPr>
        <w:rPr/>
      </w:pPr>
      <w:r>
        <w:rPr>
          <w:rtl w:val="0"/>
        </w:rPr>
        <w:t xml:space="preserve">Lista todos los campos que necesita el modelo para hacer una predicción. Añade filas si necesitas más de cuatro.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7"/>
        <w:gridCol w:w="1384"/>
        <w:gridCol w:w="3055"/>
        <w:gridCol w:w="1307"/>
        <w:gridCol w:w="1447"/>
        <w:tblGridChange w:id="0">
          <w:tblGrid>
            <w:gridCol w:w="2167"/>
            <w:gridCol w:w="1384"/>
            <w:gridCol w:w="3055"/>
            <w:gridCol w:w="1307"/>
            <w:gridCol w:w="1447"/>
          </w:tblGrid>
        </w:tblGridChange>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7">
            <w:pPr>
              <w:rPr/>
            </w:pPr>
            <w:r>
              <w:rPr>
                <w:b w:val="1"/>
                <w:bCs w:val="1"/>
                <w:color w:val="1f4e8f"/>
                <w:sz w:val="20"/>
                <w:szCs w:val="20"/>
                <w:rtl w:val="0"/>
              </w:rPr>
              <w:t xml:space="preserve">Nombre del campo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Pr>
                <w:b w:val="1"/>
                <w:bCs w:val="1"/>
                <w:color w:val="1f4e8f"/>
                <w:sz w:val="20"/>
                <w:szCs w:val="20"/>
                <w:rtl w:val="0"/>
              </w:rPr>
              <w:t xml:space="preserve">Tipo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9">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rPr/>
            </w:pPr>
            <w:r>
              <w:rPr>
                <w:b w:val="1"/>
                <w:bCs w:val="1"/>
                <w:color w:val="1f4e8f"/>
                <w:sz w:val="20"/>
                <w:szCs w:val="20"/>
                <w:rtl w:val="0"/>
              </w:rPr>
              <w:t xml:space="preserve">Obligatorio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B">
            <w:pPr>
              <w:rPr/>
            </w:pPr>
            <w:r>
              <w:rPr>
                <w:b w:val="1"/>
                <w:bCs w:val="1"/>
                <w:color w:val="1f4e8f"/>
                <w:sz w:val="20"/>
                <w:szCs w:val="20"/>
                <w:rtl w:val="0"/>
              </w:rPr>
              <w:t xml:space="preserve">Valor por defecto</w:t>
            </w:r>
            <w:r>
              <w:rPr>
                <w:rtl w:val="0"/>
              </w:rPr>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model_key</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string: 'thermal' | 'rgb'</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Ensemble a usar. Las dos modalidades no son intercambiables; sin model_key o con otro valor → 422</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image_base64 / image_path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string (base64) / ruta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Imagen jpg, jpeg, png, bmp, tif o webp. thermal: frame de la cámara térmica a resolución nativa 240x320 (ancho x alto), sin redimensionar; rgb: foto de heces de cualquier tamaño (se redimensiona a 256x256)</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 (inline, uno de los dos)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data_path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string (ruta local, s3:// o .zip)</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Modo batch: directorio o ZIP de imágenes; subcarpetas con nombre de clase (healthy/sick; healthy|pcrhealthy, cocci|pcrcocci, ncd|pcrncd, salmo|pcrsalmo) habilitan la evaluación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 (batch)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mlflow_run_id</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string</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Run con un ensemble reentrenado por /train. Si no contiene un ensemble cargable de esa modalidad → 422 (nunca se usa el base en su lugar)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No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(modelo base)</w:t>
            </w:r>
          </w:p>
        </w:tc>
      </w:tr>
    </w:tbl>
    <w:p w:rsidR="00000000" w:rsidDel="00000000" w:rsidP="00000000" w:rsidRDefault="00000000" w:rsidRPr="00000000" w14:paraId="00000030">
      <w:pPr>
        <w:spacing w:before="280" w:lineRule="auto"/>
        <w:rPr/>
      </w:pPr>
      <w:r>
        <w:rPr>
          <w:rtl w:val="0"/>
        </w:rPr>
      </w:r>
    </w:p>
    <w:p w:rsidR="00000000" w:rsidDel="00000000" w:rsidP="00000000" w:rsidRDefault="00000000" w:rsidRPr="00000000" w14:paraId="00000031">
      <w:pPr>
        <w:spacing w:before="280" w:lineRule="auto"/>
        <w:rPr/>
      </w:pPr>
      <w:r>
        <w:rPr>
          <w:rtl w:val="0"/>
        </w:rPr>
      </w:r>
    </w:p>
    <w:p w:rsidR="00000000" w:rsidDel="00000000" w:rsidP="00000000" w:rsidRDefault="00000000" w:rsidRPr="00000000" w14:paraId="00000032">
      <w:pPr>
        <w:spacing w:before="280" w:lineRule="auto"/>
        <w:rPr/>
      </w:pPr>
      <w:r>
        <w:rPr>
          <w:rtl w:val="0"/>
        </w:rPr>
      </w:r>
    </w:p>
    <w:p w:rsidR="00000000" w:rsidDel="00000000" w:rsidP="00000000" w:rsidRDefault="00000000" w:rsidRPr="00000000" w14:paraId="00000033">
      <w:pPr>
        <w:spacing w:before="280" w:lineRule="auto"/>
        <w:rPr/>
      </w:pPr>
      <w:r>
        <w:rPr>
          <w:rtl w:val="0"/>
        </w:rPr>
      </w:r>
    </w:p>
    <w:p w:rsidR="00000000" w:rsidDel="00000000" w:rsidP="00000000" w:rsidRDefault="00000000" w:rsidRPr="00000000" w14:paraId="00000034">
      <w:pPr>
        <w:pStyle w:val="Heading2"/>
        <w:spacing w:after="120" w:before="320" w:lineRule="auto"/>
        <w:rPr/>
      </w:pPr>
      <w:r>
        <w:rPr>
          <w:rtl w:val="0"/>
        </w:rPr>
        <w:t xml:space="preserve">3. Campos de salida (outputs)</w:t>
      </w:r>
    </w:p>
    <w:p w:rsidR="00000000" w:rsidDel="00000000" w:rsidP="00000000" w:rsidRDefault="00000000" w:rsidRPr="00000000" w14:paraId="00000035">
      <w:pPr>
        <w:rPr/>
      </w:pPr>
      <w:r>
        <w:rPr>
          <w:rtl w:val="0"/>
        </w:rPr>
        <w:t xml:space="preserve">Lista lo que devuelve el modelo. Incluye el nombre exacto del campo en la respuesta JSON.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400"/>
        <w:gridCol w:w="1760"/>
        <w:gridCol w:w="1800"/>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6">
            <w:pPr>
              <w:rPr/>
            </w:pPr>
            <w:r>
              <w:rPr>
                <w:b w:val="1"/>
                <w:bCs w:val="1"/>
                <w:color w:val="1f4e8f"/>
                <w:sz w:val="20"/>
                <w:szCs w:val="20"/>
                <w:rtl w:val="0"/>
              </w:rPr>
              <w:t xml:space="preserve">Nombre del campo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7">
            <w:pPr>
              <w:rPr/>
            </w:pPr>
            <w:r>
              <w:rPr>
                <w:b w:val="1"/>
                <w:bCs w:val="1"/>
                <w:color w:val="1f4e8f"/>
                <w:sz w:val="20"/>
                <w:szCs w:val="20"/>
                <w:rtl w:val="0"/>
              </w:rPr>
              <w:t xml:space="preserve">Tipo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8">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Rango de valores posibles</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Cómo interpretar el resultado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prediction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string</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Clase del ensemble por votación por mayoría de los 3 modelos base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thermal: healthy | sick; rgb: healthy | cocci | ncd | salmo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En empate a tres (solo rgb) gana el voto de VGG19-BN, igual que el código original</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predicted_class_index</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int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Índice de la clase predicha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thermal 0-1; rgb 0-3</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Orden de config.yaml: thermal 0=healthy 1=sick; rgb 0=healthy 1=cocci 2=ncd 3=salmo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confidence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Fracción de modelos base que votan la clase predicha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1/3, 2/3 o 1</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No es una probabilidad: 1 = unanimidad; 2/3 = un modelo discrepa; 1/3 = empate a tres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model_predictions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dict[str, str]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Clase votada por cada modelo base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una entrada por modelo base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Permite ver qué arquitectura discrepa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model_probabilities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dict[str, dict[str, float]]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Softmax por clase de cada modelo base (informativo)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[0, 1], suman 1 por modelo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Para monitorización: probabilidades concentradas en 0.4-0.6 de forma sostenida indican pérdida de discriminación o drift</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warnings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list[str]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Avisos no bloqueantes sobre la entrada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vacío o mensajes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 ej. imagen térmica que no es 240x320: la predicción puede no ser fiable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evaluated_metrics (batch)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dict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accuracy, precision/recall/f1 weighted y macro, y por clase, de cada modelo base y del ensemble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[0, 1]</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Solo si todas las imágenes del lote traen su clase real por subcarpeta; mismo cálculo que predictor.py del original</w:t>
            </w:r>
          </w:p>
        </w:tc>
      </w:tr>
    </w:tbl>
    <w:p w:rsidR="00000000" w:rsidDel="00000000" w:rsidP="00000000" w:rsidRDefault="00000000" w:rsidRPr="00000000" w14:paraId="0000003F">
      <w:pPr>
        <w:spacing w:before="280" w:lineRule="auto"/>
        <w:rPr/>
      </w:pPr>
      <w:r>
        <w:rPr>
          <w:rtl w:val="0"/>
        </w:rPr>
      </w:r>
    </w:p>
    <w:p w:rsidR="00000000" w:rsidDel="00000000" w:rsidP="00000000" w:rsidRDefault="00000000" w:rsidRPr="00000000" w14:paraId="00000040">
      <w:pPr>
        <w:pStyle w:val="Heading2"/>
        <w:spacing w:after="120" w:before="320" w:lineRule="auto"/>
        <w:rPr/>
      </w:pPr>
      <w:r>
        <w:rPr>
          <w:rtl w:val="0"/>
        </w:rPr>
        <w:t xml:space="preserve">4. Métricas de evaluación</w:t>
      </w:r>
    </w:p>
    <w:p w:rsidR="00000000" w:rsidDel="00000000" w:rsidP="00000000" w:rsidRDefault="00000000" w:rsidRPr="00000000" w14:paraId="00000041">
      <w:pPr>
        <w:rPr/>
      </w:pPr>
      <w:r>
        <w:rPr>
          <w:rtl w:val="0"/>
        </w:rPr>
        <w:t xml:space="preserve">Usa las métricas reales de tu notebook de evaluación (evaluation.ipynb o models/metrics/). Ejemplos: MAE, MAPE, R², accuracy, mAP50, mAP50-95, F1...</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2">
            <w:pPr>
              <w:rPr/>
            </w:pPr>
            <w:r>
              <w:rPr>
                <w:b w:val="1"/>
                <w:bCs w:val="1"/>
                <w:color w:val="1f4e8f"/>
                <w:sz w:val="20"/>
                <w:szCs w:val="20"/>
                <w:rtl w:val="0"/>
              </w:rPr>
              <w:t xml:space="preserve">Métrica</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3">
            <w:pPr>
              <w:rPr/>
            </w:pPr>
            <w:r>
              <w:rPr>
                <w:b w:val="1"/>
                <w:bCs w:val="1"/>
                <w:color w:val="1f4e8f"/>
                <w:sz w:val="20"/>
                <w:szCs w:val="20"/>
                <w:rtl w:val="0"/>
              </w:rPr>
              <w:t xml:space="preserve">Valor</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4">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Interpretación (qué significa para el usuario)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Accuracy ensemble thermal (test, n=40)</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0.8000</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Declarada por el equipo de IA (memoria Tabla 4). Por modelo: DenseNet-121 0.6750, EfficientNetV2-S 0.6750, ResNet-50 0.7750</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8 de cada 10 aves clasificadas correctamente; el ensemble supera en 2.5 pp al mejor modelo individual. Objetivo &gt; 0.7 cumplido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Recall thermal por clase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sick 0.8846 · healthy 0.6429 · weighted 0.8000 · macro 0.7637</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La memoria reporta 0.8000 (weighted, igual a la accuracy en binario); desglose de data/thermal/predictions/thermal_per_class_metrics.csv</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Detecta ~88 % de las aves enfermas; el objetivo 'Recall &gt; 0.65' se cumple en sick y weighted, no en healthy (0.64)</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Accuracy / F1 weighted ensemble rgb (test, n=192)</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0.8490 / 0.8484</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Declaradas por el equipo de IA (memoria Tabla 5). Por modelo: VGG19-BN 0.8490, EfficientNet-B7 0.8125, MobileNetV3-L 0.8490</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Objetivos &gt; 0.8 cumplidos; el ensemble iguala al mejor modelo individual</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F1 por clase ensemble rgb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healthy 0.7358 · cocci 0.8704 · ncd 0.9667 · salmo 0.8727</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Memoria Tabla 6; recall de Newcastle (ncd) = 1.0000 sobre 29 imágenes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La clase sana es la más confundida; la memoria fija recall ncd &lt; 0.85 como umbral crítico de reentrenamiento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Verificación post-integración (golden dataset)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63/63 casos exactos (tolerancia 0 por voto)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40 imágenes thermal + 23 rgb del split de test real (regenerado con ensure_data_splits del equipo y comprobado contra sus CSV), llamando a /predict del servidor real: clase del ensemble y voto de los 3 modelos base idénticos a los registrados por el pipeline original — ver outputs/a06/verification_report.md</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El plugin reproduce la inferencia original sin desviación propia, incluido el criterio de desempate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Verificación split de test completo (batch)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232/232 imágenes, 0 diferencias de voto; Tablas 4, 5 y 6 reproducidas a 4 decimales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Resultado verificado tras integración (no declarado por el equipo): thermal 0.8000 y rgb 0.8490 de accuracy, idénticas a las declaradas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Las métricas declaradas por el equipo de IA quedan confirmadas con el plugin servido; quedan votos thermal con margen softmax &lt; 0.01, sensibles a cambios de versión de opencv/torch</w:t>
            </w:r>
          </w:p>
        </w:tc>
      </w:tr>
    </w:tbl>
    <w:p w:rsidR="00000000" w:rsidDel="00000000" w:rsidP="00000000" w:rsidRDefault="00000000" w:rsidRPr="00000000" w14:paraId="0000004E">
      <w:pPr>
        <w:spacing w:before="280" w:lineRule="auto"/>
        <w:rPr/>
      </w:pPr>
      <w:r>
        <w:rPr>
          <w:rtl w:val="0"/>
        </w:rPr>
      </w:r>
    </w:p>
    <w:p>
      <w:pPr>
        <w:pStyle w:val="Heading2"/>
        <w:spacing w:after="120" w:before="320" w:lineRule="auto"/>
        <w:rPr/>
      </w:pPr>
      <w:r>
        <w:rPr>
          <w:rtl w:val="0"/>
        </w:rPr>
        <w:t xml:space="preserve">5. KPIs del modelo</w:t>
      </w:r>
    </w:p>
    <w:p>
      <w:pPr>
        <w:rPr/>
      </w:pPr>
      <w:r>
        <w:rPr>
          <w:rtl w:val="0"/>
        </w:rPr>
        <w:t xml:space="preserve">Indica los indicadores clave que permiten al usuario evaluar si el modelo está siendo útil en su contexto de negocio. No son métricas técnicas de entrenamiento (esas van en la sección 4), sino KPIs comprensibles para el usuario final. Ej: "Tasa de detección de muestras positivas en campo", "Reducción de intervenciones manuales", "Porcentaje de predicciones con confianza superior al 80%".</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
      <w:tr>
        <w:trPr>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KPI</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Valor objetivo / umbral</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Descripción comprensible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Aciertos en el cribado térmico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&gt; 70 % (obtenido 80 %)</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Porcentaje de aves bien clasificadas como sanas o enfermas por la foto térmica. Cumplido en las pruebas.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Aves enfermas detectadas en el cribado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&gt; 65 % (obtenido 88 %)</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De cada 100 aves realmente enfermas, cuántas marca el sistema. Es la cifra más importante: un ave enferma no detectada puede contagiar al resto.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Aciertos en el diagnóstico por heces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&gt; 80 % (obtenido 85 %)</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Porcentaje de muestras de heces con la enfermedad correcta (o sana). Cumplido en las pruebas.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Detección de Newcastle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85 % (obtenido 100 %)</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Si en el uso real baja de este valor, el equipo técnico debe revisar o reentrenar el sistema.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Reducción de tratamientos veterinarios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10 % (objetivo, no medido)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Objetivo de negocio del proyecto. Requiere validación con datos reales antes de despliegue.</w:t>
            </w:r>
          </w:p>
        </w:tc>
      </w:tr>
    </w:tbl>
    <w:p>
      <w:pPr>
        <w:spacing w:before="280" w:lineRule="auto"/>
        <w:rPr/>
      </w:pPr>
    </w:p>
    <w:p>
      <w:pPr>
        <w:pStyle w:val="Heading2"/>
        <w:spacing w:after="120" w:before="320" w:lineRule="auto"/>
        <w:rPr/>
      </w:pPr>
      <w:r>
        <w:rPr>
          <w:rtl w:val="0"/>
        </w:rPr>
        <w:t xml:space="preserve">6. Limitaciones conocidas</w:t>
      </w:r>
    </w:p>
    <w:p>
      <w:pPr>
        <w:rPr/>
      </w:pPr>
      <w:r>
        <w:rPr>
          <w:rtl w:val="0"/>
        </w:rPr>
        <w:t xml:space="preserve">Describe las condiciones bajo las cuales el modelo puede fallar o dar resultados poco fiables. Sé específico: un usuario de campo necesita saber cuándo NO debe confiar en la predicción.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
      <w:tr>
        <w:trPr>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Tipo de limitación</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Descripción (cuándo no usar / qué puede fallar)</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Test sets pequeños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thermal: 40 imágenes (14 sanas / 26 enfermas); cada imagen vale 2.5 pp de accuracy. Intervalos de confianza amplios.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Datos públicos de otro contexto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thermal: 254 imágenes de broilers Cobb de una granja experimental en Egipto con una cámara UNI-T UTi165A; rgb: 1 255 imágenes de heces con etiqueta PCR (Zenodo). Sin datos de explotaciones de Castilla y León: requiere validación con datos reales antes de despliegue.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Dependencia de la cámara térmica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El ensemble thermal se entrenó a la resolución nativa 240x320 con los metadatos de esa cámara incrustados; otra cámara, resolución o emisividad introduce un desplazamiento sistemático. Recalibrar/reentrenar con imágenes del equipo de destino.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Posible ruido de etiquetas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En el dataset térmico público hay imágenes con nombre 'infectado' (árabe) en la carpeta Healthy, una de ellas en test. No se ha corregido; pendiente de revisión por el equipo de IA.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Etapa rgb requiere aislamiento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El diagnóstico por heces solo es válido si se puede asociar la muestra a un ave concreta, lo que exige aislarla. Newcastle y salmonelosis comparten signos en estadios iniciales.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Reentrenamiento síncrono y largo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/train rgb completo dura ~2 h 45 min en GPU (memoria Tabla 3); thermal ~2 min en GPU (860 s medidos en CPU). Parte del checkpoint servido, no de ImageNet como el original, y no repite la búsqueda Optuna.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Sin explicabilidad en línea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Grad-CAM y el análisis de atención sobre metadatos del entregable son fases offline y no se sirven por la API.</w:t>
            </w:r>
          </w:p>
        </w:tc>
      </w:tr>
    </w:tbl>
    <w:p>
      <w:pPr>
        <w:spacing w:before="280" w:lineRule="auto"/>
        <w:rPr/>
      </w:pPr>
    </w:p>
    <w:p w:rsidR="00000000" w:rsidDel="00000000" w:rsidP="00000000" w:rsidRDefault="00000000" w:rsidRPr="00000000" w14:paraId="0000004F">
      <w:pPr>
        <w:pStyle w:val="Heading2"/>
        <w:spacing w:after="120" w:before="320" w:lineRule="auto"/>
        <w:rPr/>
      </w:pPr>
      <w:r>
        <w:rPr>
          <w:rtl w:val="0"/>
        </w:rPr>
        <w:t xml:space="preserve">7. Observaciones / notas adicionales</w:t>
      </w:r>
    </w:p>
    <w:p w:rsidR="00000000" w:rsidDel="00000000" w:rsidP="00000000" w:rsidRDefault="00000000" w:rsidRPr="00000000" w14:paraId="00000050">
      <w:pPr>
        <w:rPr/>
      </w:pPr>
      <w:r>
        <w:rPr>
          <w:rtl w:val="0"/>
        </w:rPr>
        <w:t>Inferencia en CPU viable (x86-64, ≥ 4 vCPU, 8 GB RAM; recomendado 16 GB: los 6 modelos ocupan ~1 GB en memoria). Medido en CPU: mediana 163 ms por imagen thermal y 370 ms por imagen rgb (3 modelos). GPU NVIDIA recomendada para /train. Dependencias ya presentes en el repo; recomendado fijar la versión de opencv-python-headless (el entregable usaba 4.13.0.92, verificado con 5.0.0). Monitorizar: probabilidades concentradas en 0.4-0.6 y recall de ncd &lt; 0.85 (umbral de reentrenamiento de la memoria). Los modelos se cargan con weights=None + state_dict strict (sin descarga de ImageNet).</w:t>
      </w:r>
    </w:p>
    <w:p>
      <w:pPr>
        <w:pStyle w:val="Heading2"/>
        <w:spacing w:after="120" w:before="320" w:lineRule="auto"/>
        <w:rPr/>
      </w:pPr>
      <w:r>
        <w:rPr>
          <w:rtl w:val="0"/>
        </w:rPr>
        <w:t xml:space="preserve">8. Fichero de prueba de referencia</w:t>
      </w:r>
    </w:p>
    <w:p>
      <w:pPr>
        <w:rPr/>
      </w:pPr>
      <w:r>
        <w:rPr>
          <w:rtl w:val="0"/>
        </w:rPr>
        <w:t xml:space="preserve">Proporciona un fichero de prueba real con el que tu equipo haya validado el modelo. Se utilizará para verificar la integración en la plataforma y en producción.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Nombre del fichero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inbox/a06/manifest.yaml::golden_cases (63 imágenes del split de test: data/thermal/splits/test y data/fecal/splits/test) + los splits de test completos</w:t>
            </w:r>
          </w:p>
        </w:tc>
      </w:tr>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Número de registros / muestras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63 golden cases (40 thermal, 20 rgb, 3 empates rgb) x 4 decisiones (ensemble + 3 modelos) = 252 valores; split completo 232 imágenes (40 + 192)</w:t>
            </w:r>
          </w:p>
        </w:tc>
      </w:tr>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Resultado esperado con este fichero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Cada imagen debe devolver la misma clase del ensemble y el mismo voto de cada modelo base que los CSV del entregable (data/*/predictions/*_predictions.csv); p. ej. thermal_test_002 (A1_1_104_6_0.bmp) → healthy con votos densenet121=sick, efficientnet_v2s=healthy, resnet50=healthy. El batch del test completo debe dar accuracy 0.8000 (thermal) y 0.8490 (rgb).</w:t>
            </w:r>
          </w:p>
        </w:tc>
      </w:tr>
    </w:tbl>
    <w:p>
      <w:pPr>
        <w:spacing w:before="280" w:lineRule="auto"/>
        <w:rPr/>
      </w:pP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color w:val="999999"/>
        <w:sz w:val="16"/>
        <w:szCs w:val="16"/>
        <w:rtl w:val="0"/>
      </w:rPr>
      <w:t xml:space="preserve">Plantilla metadatos de modelo -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4e8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4e8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wVchzUq8NZDJrgtdv9TlGT52g==">CgMxLjA4AHIhMWNDSzVzLU9zYlQ1dzZEUkFqR2dOUWxvMmJhRmFBd2V4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Ficha de metadatos — ml6-meat-poultry-disease-classification</dc:title>
  <cp:lastModifiedBy>python-docx</cp:lastModifiedBy>
  <cp:revision>1</cp:revision>
  <dcterms:modified xsi:type="dcterms:W3CDTF">2026-10-16T12:13:15Z</dcterms:modified>
  <dc:creator>DatagIA — integración a06</dc:creator>
</cp:coreProperties>
</file>