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a21 · cereals-price-spatial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Sistema de predicción de precios cerealísticos a nivel provincial español que combina regresión de retorno porcentual y clasificación direccional calibrada en una arquitectura de ensambles de árboles multi-horizonte (H1=30d, H2=60d, H3=90d). Integra una capa espacial y logística con variables de distancia a puertos, presión de combustible y análisis de vecindad provincial para identificar oportunidades de arbitraje geográfico.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Proporcionar una señal mensual de dirección (compra/venta/espera) y magnitud del retorno porcentual del precio de trigo, cebada y maíz a nivel provincial en España, a horizontes de 30, 60 y 90 días, integrando fundamentales macroeconómicos, variables climáticas y una capa de análisis espacial-logístico que capture la fricción de costes de transporte y la eficiencia en la transmisión de precios entre mercados regionales.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Se utiliza como herramienta de soporte a la decisión en mesas de compras cerealistas: ante la necesidad de planificar inventarios o negociar suministros, el operador selecciona una provincia, cereal y mes de interés, y el sistema devuelve una recomendación táctica (COMPRAR/ESPERAR/VENDER) con nivel de confianza por horizonte temporal, además de rankings provinciales de arbitraje en modo batch para comparar oportunidades geográficas.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El modelo no proporciona un precio garantizado de compra/venta, sino una recomendación de dirección y magnitud del retorno esperado. No anticipa eventos de impacto inmediato (cisnes negros) ni decisiones gubernamentales.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Los datos provienen del pipeline ETL del proyecto DATAGIA Lote 2: precios e índices MAPA, cotizaciones internacionales MATIF/CBOT, datos climáticos ERA5-Land a nivel provincial, estructura productiva ESYRCE, y variables geoespaciales (centroides IGN, puertos OSM). Todos los datos son mensuales y se procesan automáticamente.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provincia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Provincia española productora (Burgos, Zamora, Córdoba, etc.). Se codifica como one-hot.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cereal_predominante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Tipo de cereal predominante: trigo, cebada o maíz. Se codifica como one-hot.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date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Mes de predicción. Determina fase fenológica, lags temporales y ventana de features.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corn_intl_eur_*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Cotizaciones internacionales de maíz (MATIF/CBOT) con lags 1-3 meses, media móvil 3 meses y volatilidad 3 meses, convertidos a EUR.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wheat_intl_eur_*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Cotizaciones internacionales de trigo con lags 1-3, MA3 y vol3 en EUR.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eur_usd_lag_1/2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Paridad EUR/USD con 1 y 2 meses de retardo.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idx_*_lag_3/4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Índices MAPA de costes: fertilizantes, fitosanitarios, semillas, energía, con lags 3-4 meses.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prepag1/2_*_lag_3/4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Costes prepagados: urea, DAP, paja cereales, torta girasol, con lags 3-4 meses.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precip_provincial_lag_1/2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Precipitación provincial con lags 1-2 meses, incluyendo desviación estándar y shock relativo.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temp_provincial_*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Variables de temperatura provincial (media, máxima, mínima) y anomalía.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z_clima_adverso_*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Z-scores de anomalía climática para identificar eventos extremos.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sup_cereal_predominante_lag_1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Superficie sembrada del cereal predominante con 1 mes de retardo.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dist_puerto_min_km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Distancia mínima geodésica (Haversine) al puerto de referencia más cercano.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presion_combustible_puerto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Índice de presión de costes de combustible vinculado a la distancia al nodo logístico.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provincia_*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Codificación one-hot de 23 provincias productoras.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fase_siembra/crecimiento/cosecha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Marcadores binarios de fase fenológica del cereal según el mes.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month_sin/month_cos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Codificación cíclica trigonométrica del mes del año.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signal_h1/h2/h3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Señal de tendencia por horizonte temporal según umbrales de retorno y probabilidad calibrados.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ALCISTA indica oportunidad de compra con retorno esperado positivo y alta probabilidad; BAJISTA indica venta o espera; NEUTRAL indica zona de baja confianza.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confidence_h1/h2/h3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Nivel de confianza de la señal, basado en la probabilidad calibrada del clasificador.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Valores &gt;60% indican alta fiabilidad de la señal; 40-60% zona de cautela; &lt;40% señal no operativa.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expected_return_h1/h2/h3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Retorno porcentual esperado estimado por el regresor para cada horizonte.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Valor positivo indica retorno esperado alcista; negativo bajista. Se interpreta como fracción del precio actual.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prob_up_h1/h2/h3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Probabilidad calibrada de movimiento alcista según el clasificador.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Probabilidad de que el precio suba en el horizonte indicado. Umbral de referencia: 0.65 para señal alcista.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timing_label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Etiqueta de recomendación táctica consolidada.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Resumen ejecutivo de la acción recomendada según la alineación de horizontes y umbrales.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geo_risk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Indicador de riesgo geográfico alto basado en distancia a puertos y presión de combustible.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True indica que la provincia tiene alta fricción logística, lo que puede degradar la rentabilidad del arbitraje.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causal_drivers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Top 3 factores causales con dirección e intensidad que explican la señal.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Permite al usuario entender qué fundamentales están impulsando la recomendación.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card_text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Ficha de decisión completa en texto plano con resumen ejecutivo.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Documento legible para el operador que consolida la información de los 3 horizontes.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para Burgos-trigo-junio-2026 el modelo devuelve H1: ALCISTA (confianza 72%, retorno esperado +2.1%), H2: NEUTRAL (confianza 51%, retorno +0.8%), H3: ALCISTA (confianza 68%, retorno +3.5%), se interpreta como una oportunidad de compra a corto y largo plazo, con zona de cautela en el medio plazo. La recomendación táctica consolidada sería COMPRA YA si H1 y H3 están alineados.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El error absoluto medio en retorno porcentual oscila entre 5.1% (H1) y 10.1% (H3). Una diferencia inferior a 5 puntos porcentuales en la estimación del retorno no es estadísticamente significativa dado la volatilidad del mercado cerealista. El modelo acierta la dirección del movimiento en el 56-63% de los casos según el horizonte.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Cuando la confianza de la señal es inferior al 65% (zona neutral), no ejecutar operaciones basadas únicamente en la recomendación del modelo.</w:t>
      </w:r>
    </w:p>
    <w:p ns2:paraId="2053022C" ns2:textId="77777777" w:rsidR="00CE24DC" w:rsidRDefault="00000000">
      <w:r>
        <w:t xml:space="preserve">•  En periodos de alta volatilidad geopolítica o cambios regulatorios, la supervisión humana experta es obligatoria para filtrar la señal técnica.</w:t>
      </w:r>
    </w:p>
    <w:p ns2:paraId="2053022C" ns2:textId="77777777" w:rsidR="00CE24DC" w:rsidRDefault="00000000">
      <w:r>
        <w:t xml:space="preserve">•  Verificar que la combinación provincia-cereal-mes consultada tiene representación en el dataset histórico; en caso contrario, la señal puede ser poco fiable.</w:t>
      </w:r>
    </w:p>
    <w:p ns2:paraId="2053022C" ns2:textId="77777777" w:rsidR="00CE24DC" w:rsidRDefault="00000000">
      <w:r>
        <w:t xml:space="preserve">•  Cuando los 3 horizontes no están alineados (mezcla de ALCISTA/BAJISTA/NEUTRAL), no tomar decisión sin análisis adicional del contexto de mercado.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sustituye la experiencia del comprador senior ni el juicio del departamento de riesgos.</w:t>
      </w:r>
    </w:p>
    <w:p ns2:paraId="36E72011" ns2:textId="77777777" w:rsidR="00CE24DC" w:rsidRDefault="00000000">
      <w:r>
        <w:t xml:space="preserve">•  No garantiza la ejecución de la operación al precio predicho; el precio real depende de la liquidez del mercado y costes logísticos.</w:t>
      </w:r>
    </w:p>
    <w:p ns2:paraId="36E72011" ns2:textId="77777777" w:rsidR="00CE24DC" w:rsidRDefault="00000000">
      <w:r>
        <w:t xml:space="preserve">•  No anticipa eventos de impacto inmediato (cisnes negros, decisiones gubernamentales, fenómenos meteorológicos extremos).</w:t>
      </w:r>
    </w:p>
    <w:p ns2:paraId="36E72011" ns2:textId="77777777" w:rsidR="00CE24DC" w:rsidRDefault="00000000">
      <w:r>
        <w:t xml:space="preserve">•  No gestiona inventarios ni automatiza compras; es una herramienta de soporte a la decisión.</w:t>
      </w:r>
    </w:p>
    <w:p ns2:paraId="36E72011" ns2:textId="77777777" w:rsidR="00CE24DC" w:rsidRDefault="00000000">
      <w:r>
        <w:t xml:space="preserve">•  No reemplaza la monitorización continua de precios reales publicados por el MAPA.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Sí, el modelo puede equivocarse. En el periodo de test (2021-2025, incluyendo la crisis de Ucrania 2022), el AUC oscila entre 0.71 y 0.75 y la dirección se acierta en el 56-63% de los casos. Esto significa que aproximadamente 1 de cada 3 señales directionales puede ser errónea. El modelo es una ayuda a la decisión, no una garantía de rentabilidad. Se recomienda aplicar un buffer prudencial del 1-2% sobre cualquier oportunidad de arbitraje.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AUC-ROC (Filtro de falsas alarmas)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0.70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Capacidad del modelo para distinguir señales alcistas reales de fluctuaciones irrelevantes. Supera el umbral en los 3 horizontes (0.71-0.75).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Pearson R (Captura de tendencia)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0.30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Correlación entre retorno predicho y real. Cumple el umbral en H1 (0.38), está en el límite en H2 (0.27) y por debajo en H3 (0.21), aceptable dado el protocolo de Blacklist Nuclear.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Direction Accuracy (DA)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55%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aciertos directionales. Supera el umbral en los 3 horizontes (55.9-62.5%), con H3 como el más preciso para planificación estratégica.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Tiempo de inferencia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&lt; 1s individual, &lt; 5s batch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Velocidad de respuesta del motor de predicción. Cumple holgadamente en hardware estándar.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Sesgo de agregación institucional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modelo aprende el precio medio provincial a partir de fuentes MAPA, ignorando dispersiones intraprovinciales. La predicción refleja una tendencia macro, no precios puntuales de mercado.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Blacklist Nuclear — ceguera técnica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exclusión de lags de precio impide capturar rebotes técnicos de corto plazo. El modelo es resiliente pero menos reactivo a movimientos de inercia del mercado.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Sesgo geográfico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Optimizado para provincias con mayor peso histórico en el dataset. En regiones con baja liquidez o dinámicas no representadas, la precisión se degrada por extrapolación.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Dependencia energética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Asume que costes de insumos (Urea, Gas) y futuros internacionales son los motores primarios. Una ruptura estructural en esta jerarquía podría generar drift silencioso.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Disrupciones intrapublicación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Eventos de impacto inmediato (cisnes negros) ocurridos entre dos cortes mensuales de datos no serán capturados hasta el siguiente ciclo ETL.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Intervencionismo político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No anticipa decisiones gubernamentales discretas (precios máximos, aranceles, prohibiciones de exportación) que rompan la dinámica de oferta-demandada aprendida.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Requiere reentrenamiento ante cambio de régimen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Si las correlaciones históricas se invalidan permanentemente, el modelo deja de ser fiable hasta un reentrenamiento con datos actualizados.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Mercados sin contrapartida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En meses de inactividad física del mercado, la salida teórica puede ser coherente pero la ejecución real imposible por falta de liquidez.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a21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cereals-price-spatial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