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626D87FC" ns2:textId="77777777" w:rsidR="00ED73C6" w:rsidRDefault="00ED73C6">
      <w:pPr>
        <w:widowControl w:val="0"/>
        <w:pBdr>
          <w:top w:val="nil"/>
          <w:left w:val="nil"/>
          <w:bottom w:val="nil"/>
          <w:right w:val="nil"/>
          <w:between w:val="nil"/>
        </w:pBdr>
        <w:spacing w:after="0" w:line="276" w:lineRule="auto"/>
      </w:pPr>
    </w:p>
    <w:p ns2:paraId="1F06B188" ns2:textId="77777777" w:rsidR="00ED73C6" w:rsidRDefault="00000000">
      <w:r>
        <w:rPr>
          <w:noProof/>
        </w:rPr>
        <w:drawing>
          <ns3:anchor distT="0" distB="0" distL="114300" distR="114300" simplePos="0" relativeHeight="251658240" behindDoc="0" locked="0" layoutInCell="1" hidden="0" allowOverlap="1" ns4:anchorId="7490E72F" ns4:editId="7601E0FE">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5ED55FDB" ns2:textId="77777777" w:rsidR="00ED73C6" w:rsidRDefault="00ED73C6"/>
    <w:p ns2:paraId="3ACB5044" ns2:textId="77777777" w:rsidR="00ED73C6" w:rsidRDefault="00ED73C6"/>
    <w:p ns2:paraId="24D31646" ns2:textId="77777777" w:rsidR="00ED73C6" w:rsidRDefault="00000000">
      <w:r>
        <w:rPr>
          <w:noProof/>
        </w:rPr>
        <w:drawing>
          <ns3:anchor distT="0" distB="0" distL="114300" distR="114300" simplePos="0" relativeHeight="251659264" behindDoc="0" locked="0" layoutInCell="1" hidden="0" allowOverlap="1" ns4:anchorId="41217845" ns4:editId="3C0FBC9E">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510A3F8A" ns2:textId="77777777" w:rsidR="00ED73C6" w:rsidRDefault="00ED73C6"/>
    <w:p ns2:paraId="11346F3F" ns2:textId="77777777" w:rsidR="00ED73C6" w:rsidRDefault="00ED73C6"/>
    <w:p ns2:paraId="239C7CC2" ns2:textId="77777777" w:rsidR="00ED73C6" w:rsidRDefault="00ED73C6"/>
    <w:p ns2:paraId="456AF325" ns2:textId="77777777" w:rsidR="00ED73C6" w:rsidRDefault="00ED73C6"/>
    <w:p ns2:paraId="32FEB606" ns2:textId="77777777" w:rsidR="00ED73C6" w:rsidRDefault="00ED73C6">
      <w:pPr>
        <w:jc w:val="right"/>
      </w:pPr>
    </w:p>
    <w:p ns2:paraId="7099C703" ns2:textId="77777777" w:rsidR="00ED73C6" w:rsidRDefault="00ED73C6"/>
    <w:p ns2:paraId="5674BF31" ns2:textId="77777777" w:rsidR="00ED73C6" w:rsidRDefault="00ED73C6"/>
    <w:p ns2:paraId="57D79371" ns2:textId="77777777" w:rsidR="00ED73C6" w:rsidRDefault="00ED73C6">
      <w:pPr>
        <w:rPr>
          <w:rFonts w:ascii="Liberation Sans Regular" w:eastAsia="Liberation Sans Regular" w:hAnsi="Liberation Sans Regular" w:cs="Liberation Sans Regular"/>
          <w:color w:val="203441"/>
          <w:sz w:val="44"/>
          <w:szCs w:val="44"/>
        </w:rPr>
      </w:pPr>
    </w:p>
    <w:p ns2:paraId="04402B53"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técnica del modelo</w:t>
      </w:r>
    </w:p>
    <w:p ns2:paraId="2CCAB764" ns2:textId="77777777" w:rsidR="00ED73C6"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a33 · cereals-reuse-strategy-optimizer</w:t>
      </w:r>
    </w:p>
    <w:p ns2:paraId="77EA3F8E" ns2:textId="77777777" w:rsidR="00ED73C6"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Especificación técnica para integración en la plataforma DatagIA</w:t>
      </w:r>
    </w:p>
    <w:p ns2:paraId="70952EAF" ns2:textId="77777777" w:rsidR="00ED73C6"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Agosto 2026</w:t>
      </w:r>
    </w:p>
    <w:p ns2:paraId="262CD268" ns2:textId="77777777" w:rsidR="00ED73C6" w:rsidRDefault="00000000">
      <w:r>
        <w:rPr>
          <w:noProof/>
        </w:rPr>
        <w:drawing>
          <ns3:anchor distT="0" distB="0" distL="0" distR="0" simplePos="0" relativeHeight="251660288" behindDoc="1" locked="0" layoutInCell="1" hidden="0" allowOverlap="1" ns4:anchorId="42C3D32A" ns4:editId="6D88BCF5">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2090A9BD" ns2:textId="77777777" w:rsidR="00ED73C6" w:rsidRDefault="00ED73C6"/>
    <w:p ns2:paraId="49E44998" ns2:textId="77777777" w:rsidR="00ED73C6" w:rsidRDefault="00ED73C6"/>
    <w:p ns2:paraId="3C91F572" ns2:textId="77777777" w:rsidR="00ED73C6" w:rsidRDefault="00ED73C6">
      <w:pPr>
        <w:rPr>
          <w:rFonts w:ascii="Liberalisation sans narrow" w:eastAsia="Liberalisation sans narrow" w:hAnsi="Liberalisation sans narrow" w:cs="Liberalisation sans narrow"/>
          <w:b/>
          <w:bCs/>
        </w:rPr>
      </w:pPr>
    </w:p>
    <w:p ns2:paraId="4681F6B2" ns2:textId="77777777" w:rsidR="00ED73C6"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02E1F42B"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3160BF82" ns2:textId="77777777" w:rsidR="00ED73C6" w:rsidRDefault="00ED73C6">
      <w:pPr>
        <w:keepLines/>
        <w:spacing w:before="120" w:after="120" w:line="276" w:lineRule="auto"/>
        <w:jc w:val="both"/>
        <w:rPr>
          <w:rFonts w:ascii="Liberalisation sans narrow" w:eastAsia="Liberalisation sans narrow" w:hAnsi="Liberalisation sans narrow" w:cs="Liberalisation sans narrow"/>
        </w:rPr>
      </w:pPr>
    </w:p>
    <w:p ns2:paraId="7108173E" ns2:textId="6E1C69EF" w:rsidR="00ED73C6" w:rsidRPr="00D12B9E" w:rsidRDefault="00ED73C6" w:rsidP="00D12B9E">
      <w:pPr>
        <w:pBdr>
          <w:top w:val="nil"/>
          <w:left w:val="nil"/>
          <w:bottom w:val="nil"/>
          <w:right w:val="nil"/>
          <w:between w:val="nil"/>
        </w:pBdr>
        <w:tabs>
          <w:tab w:val="right" w:leader="dot" w:pos="8494"/>
        </w:tabs>
        <w:spacing w:after="100"/>
      </w:pPr>
    </w:p>
    <w:p ns2:paraId="208779DB" ns2:textId="0AFB4AE3" w:rsidR="00ED73C6" w:rsidRPr="00D12B9E" w:rsidRDefault="00000000" w:rsidP="00D12B9E">
      <w:pPr>
        <w:rPr>
          <w:rFonts w:ascii="Liberalisation sans narrow" w:eastAsia="Liberalisation sans narrow" w:hAnsi="Liberalisation sans narrow" w:cs="Liberalisation sans narrow"/>
          <w:color w:val="203441"/>
        </w:rPr>
      </w:pPr>
      <w:r>
        <w:br w:type="page"/>
      </w:r>
      <w:bookmarkStart w:id="0" w:name="_heading=h.33jjin156j5n" w:colFirst="0" w:colLast="0"/>
      <w:bookmarkEnd w:id="0"/>
    </w:p>
    <w:p ns2:paraId="162D2D39" ns2:textId="3B463319" w:rsidR="00ED73C6" w:rsidRDefault="00D12B9E">
      <w:pPr>
        <w:rPr>
          <w:rFonts w:ascii="Liberation sans narrow" w:eastAsia="Liberation sans narrow" w:hAnsi="Liberation sans narrow" w:cs="Liberation sans narrow"/>
        </w:rPr>
      </w:pPr>
      <w:r>
        <w:rPr>
          <w:rFonts w:ascii="Liberation sans narrow" w:eastAsia="Liberation sans narrow" w:hAnsi="Liberation sans narrow" w:cs="Liberation sans narrow"/>
        </w:rPr>
        <w:fldChar w:fldCharType="end"/>
      </w:r>
    </w:p>
    <w:p ns2:paraId="71B34098" ns2:textId="08771405" w:rsidR="00ED73C6" w:rsidRDefault="00ED73C6">
      <w:pPr>
        <w:pBdr>
          <w:top w:val="nil"/>
          <w:left w:val="nil"/>
          <w:bottom w:val="nil"/>
          <w:right w:val="nil"/>
          <w:between w:val="nil"/>
        </w:pBdr>
        <w:spacing w:before="120" w:after="120" w:line="240" w:lineRule="auto"/>
        <w:jc w:val="both"/>
        <w:rPr>
          <w:rFonts w:ascii="Liberation sans narrow" w:eastAsia="Liberation sans narrow" w:hAnsi="Liberation sans narrow" w:cs="Liberation sans narrow"/>
          <w:color w:val="739A8A"/>
        </w:rPr>
      </w:pPr>
    </w:p>
    <w:p ns2:paraId="6D9B2421" ns2:textId="6574B031" w:rsidR="00ED73C6" w:rsidRPr="00D12B9E" w:rsidRDefault="00000000" w:rsidP="00D12B9E">
      <w:pPr>
        <w:rPr>
          <w:rFonts w:ascii="Liberation sans narrow" w:eastAsia="Liberation sans narrow" w:hAnsi="Liberation sans narrow" w:cs="Liberation sans narrow"/>
          <w:color w:val="203441"/>
        </w:rPr>
      </w:pPr>
      <w:r>
        <w:br w:type="page"/>
      </w:r>
    </w:p>
    <w:p ns2:paraId="73C6066A" ns2:textId="77777777" w:rsidR="00ED73C6" w:rsidRPr="00D12B9E" w:rsidRDefault="00000000" w:rsidP="00D12B9E">
      <w:pPr>
        <w:pStyle w:val="Ttulo1"/>
        <w:jc w:val="left"/>
      </w:pPr>
      <w:bookmarkStart w:id="6" w:name="_Toc233977723"/>
      <w:r>
        <w:lastRenderedPageBreak/>
        <w:t>1. Información general del modelo</w:t>
      </w:r>
      <w:bookmarkEnd w:id="6"/>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1AB946D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EF0F73D" ns2:textId="77777777" w:rsidR="00ED73C6" w:rsidRDefault="00000000">
            <w:r>
              <w:rPr>
                <w:b/>
                <w:bCs/>
                <w:color w:val="333333"/>
                <w:sz w:val="20"/>
                <w:szCs w:val="20"/>
              </w:rPr>
              <w:t>Nombre del modelo (model_key)</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D4993D6" ns2:textId="77777777" w:rsidR="00ED73C6" w:rsidRDefault="00000000">
            <w:r>
              <w:t xml:space="preserve">ml33-cereals-reuse-strategy-optimizer</w:t>
            </w:r>
          </w:p>
        </w:tc>
      </w:tr>
      <w:tr w:rsidR="00ED73C6" ns2:paraId="2B5210A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0DEA41B" ns2:textId="77777777" w:rsidR="00ED73C6" w:rsidRDefault="00000000">
            <w:r>
              <w:rPr>
                <w:b/>
                <w:bCs/>
                <w:color w:val="333333"/>
                <w:sz w:val="20"/>
                <w:szCs w:val="20"/>
              </w:rPr>
              <w:t>Versión</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84A7408" ns2:textId="77777777" w:rsidR="00ED73C6" w:rsidRDefault="00000000">
            <w:r>
              <w:t xml:space="preserve">2.0</w:t>
            </w:r>
          </w:p>
        </w:tc>
      </w:tr>
      <w:tr w:rsidR="00ED73C6" ns2:paraId="02B4508D"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656986A" ns2:textId="77777777" w:rsidR="00ED73C6"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321CCA3" ns2:textId="77777777" w:rsidR="00ED73C6" w:rsidRDefault="00000000">
            <w:r>
              <w:t xml:space="preserve">Optimizador determinista de asignación (Programación Lineal Entera Mixta, scipy.optimize.milp, backend HiGHS) que decide a qué estrategia de reutilización enviar cada lote de subproducto cerealista generado — Animal feed, Composting, Biochar o Biomass combustion — minimizando la emisión de CO2 simulada, bajo capacidades diarias de planta que se resetean cada 'lots_per_day' lotes. No es un modelo con pesos entrenados: resuelve un problema de asignación exacta por bloque a partir de una función de emisión determinista. La neuroevolución (NEAT) que trae el delivery original se mantiene por el equipo de IA únicamente como referencia comparativa (benchmark), no como motor desplegado.</w:t>
            </w:r>
          </w:p>
        </w:tc>
      </w:tr>
      <w:tr w:rsidR="00ED73C6" ns2:paraId="6EFECFC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82E1B3" ns2:textId="77777777" w:rsidR="00ED73C6" w:rsidRDefault="00000000">
            <w:r>
              <w:rPr>
                <w:b/>
                <w:bCs/>
                <w:color w:val="333333"/>
                <w:sz w:val="20"/>
                <w:szCs w:val="20"/>
              </w:rPr>
              <w:t>Tipo de tarea (task_type)</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197DDF" ns2:textId="77777777" w:rsidR="00ED73C6" w:rsidRDefault="00000000">
            <w:r>
              <w:t xml:space="preserve">optimization (asignación exacta MILP)</w:t>
            </w:r>
          </w:p>
        </w:tc>
      </w:tr>
      <w:tr w:rsidR="00ED73C6" ns2:paraId="51B3BC9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0767B48" ns2:textId="77777777" w:rsidR="00ED73C6" w:rsidRDefault="00000000">
            <w:r>
              <w:rPr>
                <w:b/>
                <w:bCs/>
                <w:color w:val="333333"/>
                <w:sz w:val="20"/>
                <w:szCs w:val="20"/>
              </w:rPr>
              <w:t>Framework</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C645F96" ns2:textId="77777777" w:rsidR="00ED73C6" w:rsidRDefault="00000000">
            <w:r>
              <w:t xml:space="preserve">scipy.optimize.milp (HiGHS)==1.11+, numpy, pandas, pydantic</w:t>
            </w:r>
          </w:p>
        </w:tc>
      </w:tr>
      <w:tr w:rsidR="00ED73C6" ns2:paraId="4C8DFFDF"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75677B8" ns2:textId="77777777" w:rsidR="00ED73C6" w:rsidRDefault="00000000">
            <w:r>
              <w:rPr>
                <w:b/>
                <w:bCs/>
                <w:color w:val="333333"/>
                <w:sz w:val="20"/>
                <w:szCs w:val="20"/>
              </w:rPr>
              <w:t>Fichero del artefacto</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B3BB4A5" ns2:textId="77777777" w:rsidR="00ED73C6" w:rsidRDefault="00000000">
            <w:r>
              <w:t xml:space="preserve">Sin pesos entrenados ni artefactos serializados. El 'modelo' es código determinista: la función de emisión strategy_emissions() más el solver MILP sobre bloques de lots_per_day lotes.</w:t>
            </w:r>
          </w:p>
        </w:tc>
      </w:tr>
      <w:tr w:rsidR="00ED73C6" ns2:paraId="3C91287B"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E9DF75B" ns2:textId="77777777" w:rsidR="00ED73C6"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0D276D1A" ns2:textId="77777777" w:rsidR="00ED73C6" w:rsidRDefault="00000000">
            <w:r>
              <w:t xml:space="preserve">Reducir la emisión de CO2 asociada a la gestión de subproductos de cereal (cascarilla, paja, polvo de silo, salvado), decidiendo de forma óptima y auditable a qué vía de reutilización enviar cada lote generado, respetando las capacidades operativas diarias de cada vía.</w:t>
            </w:r>
          </w:p>
        </w:tc>
      </w:tr>
      <w:tr w:rsidR="00ED73C6" ns2:paraId="09F81BAA"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7CACCB4" ns2:textId="77777777" w:rsidR="00ED73C6"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A1BDCF3" ns2:textId="77777777" w:rsidR="00ED73C6" w:rsidRDefault="00000000">
            <w:r>
              <w:t xml:space="preserve">Servido en /models/ml33-cereals-reuse-strategy-optimizer/predict con dos modos por el discriminador 'mode'. Modo inline: recibe una lista de 1 o más lotes (volumen, humedad, tipo de subproducto, estación) más los parámetros de ejecución (lots_per_day, capacidades por estrategia, estrategia de guarda); devuelve la estrategia asignada por lote, su fuente (solución MILP exacta o guarda defensiva), la emisión estimada y un resumen de distribución. Modo batch: recibe la ruta de un CSV con los mismos 4 campos por fila y aplica el mismo motor sobre todo el fichero, siempre con el régimen de capacidades por defecto (las capacidades solo son configurables en modo inline). El reentrenamiento por usuario no aplica: /train devuelve HTTP 501 (optimizador determinista, no hay pesos que ajustar).</w:t>
            </w:r>
          </w:p>
        </w:tc>
      </w:tr>
    </w:tbl>
    <w:p ns2:paraId="0E4A03E1" ns2:textId="164C9CA4" w:rsidR="00ED73C6" w:rsidRDefault="00D12B9E" w:rsidP="00D12B9E">
      <w:pPr>
        <w:pStyle w:val="Descripcin"/>
        <w:jc w:val="center"/>
      </w:pPr>
      <w:bookmarkStart w:id="7" w:name="_Toc233977640"/>
      <w:r>
        <w:t xml:space="preserve">Tabla </w:t>
      </w:r>
      <w:fldSimple w:instr=" SEQ Tabla \* ARABIC ">
        <w:r>
          <w:rPr>
            <w:noProof/>
          </w:rPr>
          <w:t>2</w:t>
        </w:r>
      </w:fldSimple>
      <w:r>
        <w:t xml:space="preserve"> Información general del modelo</w:t>
      </w:r>
      <w:bookmarkEnd w:id="7"/>
    </w:p>
    <w:p ns2:paraId="48838E47" ns2:textId="77777777" w:rsidR="00ED73C6" w:rsidRPr="00D12B9E" w:rsidRDefault="00000000" w:rsidP="00D12B9E">
      <w:pPr>
        <w:pStyle w:val="Ttulo1"/>
        <w:jc w:val="left"/>
      </w:pPr>
      <w:bookmarkStart w:id="8" w:name="_Toc233977724"/>
      <w:r>
        <w:t>2. Campos de entrada (inputs)</w:t>
      </w:r>
      <w:bookmarkEnd w:id="8"/>
    </w:p>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7"/>
        <w:gridCol w:w="1384"/>
        <w:gridCol w:w="3055"/>
        <w:gridCol w:w="1307"/>
        <w:gridCol w:w="1447"/>
      </w:tblGrid>
      <w:tr w:rsidR="00ED73C6" ns2:paraId="71F932B9"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9F614D4" ns2:textId="77777777" w:rsidR="00ED73C6" w:rsidRDefault="00000000">
            <w:r>
              <w:rPr>
                <w:b/>
                <w:bCs/>
                <w:color w:val="1F4E8F"/>
                <w:sz w:val="20"/>
                <w:szCs w:val="20"/>
              </w:rPr>
              <w:t>Nombre del campo</w:t>
            </w:r>
          </w:p>
        </w:tc>
        <w:tc>
          <w:tcPr>
            <w:tcW w:w="1384"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089FD74" ns2:textId="77777777" w:rsidR="00ED73C6" w:rsidRDefault="00000000">
            <w:r>
              <w:rPr>
                <w:b/>
                <w:bCs/>
                <w:color w:val="1F4E8F"/>
                <w:sz w:val="20"/>
                <w:szCs w:val="20"/>
              </w:rPr>
              <w:t>Tipo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8CD2F77" ns2:textId="77777777" w:rsidR="00ED73C6" w:rsidRDefault="00000000">
            <w:r>
              <w:rPr>
                <w:b/>
                <w:bCs/>
                <w:color w:val="1F4E8F"/>
                <w:sz w:val="20"/>
                <w:szCs w:val="20"/>
              </w:rPr>
              <w:t>Descripción</w:t>
            </w:r>
          </w:p>
        </w:tc>
        <w:tc>
          <w:tcPr>
            <w:tcW w:w="130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2A2F0D2" ns2:textId="77777777" w:rsidR="00ED73C6" w:rsidRDefault="00000000">
            <w:r>
              <w:rPr>
                <w:b/>
                <w:bCs/>
                <w:color w:val="1F4E8F"/>
                <w:sz w:val="20"/>
                <w:szCs w:val="20"/>
              </w:rPr>
              <w:t>Obligatorio</w:t>
            </w:r>
          </w:p>
        </w:tc>
        <w:tc>
          <w:tcPr>
            <w:tcW w:w="144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FFDAD95" ns2:textId="77777777" w:rsidR="00ED73C6" w:rsidRDefault="00000000">
            <w:r>
              <w:rPr>
                <w:b/>
                <w:bCs/>
                <w:color w:val="1F4E8F"/>
                <w:sz w:val="20"/>
                <w:szCs w:val="20"/>
              </w:rPr>
              <w:t>Valor por defecto</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generated_volume_tons</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Volumen del lote de subproducto generado</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moisture_pct</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Humedad del lote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subproduct_type</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Categoría del subproducto: Husk, Straw, Silo dust o Bran</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season</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Estación (Dry/Rainy). Validada como columna requerida pero NO interviene en la fórmula de emisión — campo vestigial del esquema de entrada de NEAT en el delivery original</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process_temperature_c</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 null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Aceptado por compatibilidad de esquema; NUNCA usado como entrada de decisión — la temperatura se deriva de la estrategia elegida, no al revés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null</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lots_per_day</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int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Nº de lotes antes de resetear las capacidades (bloque operativo/día simulado) [solo modo inline]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15</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animal_feed_capacity / composting_capacity / biochar_capacity / biomass_combustion_capacity</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float (t)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Capacidad diaria de cada estrategia [solo modo inline]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90.0 / 140.0 / 45.0 / 10000.0</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fallback_strategy</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Estrategia de guarda si el MILP no puede colocar un lote (con las capacidades por defecto no llega a activarse) [solo modo inline]</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No</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Biomass combustion</w:t>
            </w:r>
          </w:p>
        </w:tc>
      </w:tr>
      <w:tr w:rsidR="00ED73C6" ns2:paraId="5943B210"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74456BA" ns2:textId="77777777" w:rsidR="00ED73C6" w:rsidRDefault="00000000">
            <w:r>
              <w:t xml:space="preserve">data_path</w:t>
            </w:r>
          </w:p>
        </w:tc>
        <w:tc>
          <w:tcPr>
            <w:tcW w:w="1384"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3BFE475" ns2:textId="77777777" w:rsidR="00ED73C6" w:rsidRDefault="00000000">
            <w:r>
              <w:t xml:space="preserve">str</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3AC0988" ns2:textId="77777777" w:rsidR="00ED73C6" w:rsidRDefault="00000000">
            <w:r>
              <w:t xml:space="preserve">Modo batch: ruta a un CSV con un lote por fila (mismas 4 columnas obligatorias)</w:t>
            </w:r>
          </w:p>
        </w:tc>
        <w:tc>
          <w:tcPr>
            <w:tcW w:w="130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9F6ACFB" ns2:textId="77777777" w:rsidR="00ED73C6" w:rsidRDefault="00000000">
            <w:r>
              <w:t xml:space="preserve">Sí (modo batch)</w:t>
            </w:r>
          </w:p>
        </w:tc>
        <w:tc>
          <w:tcPr>
            <w:tcW w:w="144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7756D559" ns2:textId="77777777" w:rsidR="00ED73C6" w:rsidRDefault="00000000">
            <w:r>
              <w:t xml:space="preserve">-</w:t>
            </w:r>
          </w:p>
        </w:tc>
      </w:tr>
    </w:tbl>
    <w:p ns2:paraId="2301E228" ns2:textId="43111ADC" w:rsidR="00ED73C6" w:rsidRDefault="00D12B9E" w:rsidP="00D12B9E">
      <w:pPr>
        <w:pStyle w:val="Descripcin"/>
        <w:jc w:val="center"/>
      </w:pPr>
      <w:bookmarkStart w:id="9" w:name="_Toc233977641"/>
      <w:r>
        <w:t xml:space="preserve">Tabla </w:t>
      </w:r>
      <w:fldSimple w:instr=" SEQ Tabla \* ARABIC ">
        <w:r>
          <w:rPr>
            <w:noProof/>
          </w:rPr>
          <w:t>3</w:t>
        </w:r>
      </w:fldSimple>
      <w:r>
        <w:t xml:space="preserve"> Campos de entrada (inputs)</w:t>
      </w:r>
      <w:bookmarkEnd w:id="9"/>
    </w:p>
    <w:p ns2:paraId="1A4DD035" ns2:textId="77777777" w:rsidR="00ED73C6" w:rsidRPr="00D12B9E" w:rsidRDefault="00000000" w:rsidP="00D12B9E">
      <w:pPr>
        <w:pStyle w:val="Ttulo1"/>
        <w:jc w:val="left"/>
      </w:pPr>
      <w:bookmarkStart w:id="10" w:name="_Toc233977725"/>
      <w:r>
        <w:t>3. Campos de salida (outputs)</w:t>
      </w:r>
      <w:bookmarkEnd w:id="10"/>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200"/>
        <w:gridCol w:w="2400"/>
        <w:gridCol w:w="1760"/>
        <w:gridCol w:w="1800"/>
      </w:tblGrid>
      <w:tr w:rsidR="00ED73C6" ns2:paraId="74C19D16"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6393328" ns2:textId="77777777" w:rsidR="00ED73C6" w:rsidRDefault="00000000">
            <w:r>
              <w:rPr>
                <w:b/>
                <w:bCs/>
                <w:color w:val="1F4E8F"/>
                <w:sz w:val="20"/>
                <w:szCs w:val="20"/>
              </w:rPr>
              <w:t>Nombre del campo</w:t>
            </w:r>
          </w:p>
        </w:tc>
        <w:tc>
          <w:tcPr>
            <w:tcW w:w="1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B6C5E52" ns2:textId="77777777" w:rsidR="00ED73C6" w:rsidRDefault="00000000">
            <w:r>
              <w:rPr>
                <w:b/>
                <w:bCs/>
                <w:color w:val="1F4E8F"/>
                <w:sz w:val="20"/>
                <w:szCs w:val="20"/>
              </w:rPr>
              <w:t>Tipo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76B52FF" ns2:textId="77777777" w:rsidR="00ED73C6" w:rsidRDefault="00000000">
            <w:r>
              <w:rPr>
                <w:b/>
                <w:bCs/>
                <w:color w:val="1F4E8F"/>
                <w:sz w:val="20"/>
                <w:szCs w:val="20"/>
              </w:rPr>
              <w:t>Descripción</w:t>
            </w:r>
          </w:p>
        </w:tc>
        <w:tc>
          <w:tcPr>
            <w:tcW w:w="176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B5BC6FF" ns2:textId="77777777" w:rsidR="00ED73C6" w:rsidRDefault="00000000">
            <w:r>
              <w:rPr>
                <w:b/>
                <w:bCs/>
                <w:color w:val="1F4E8F"/>
                <w:sz w:val="20"/>
                <w:szCs w:val="20"/>
              </w:rPr>
              <w:t>Rango de valores posibles</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EDED9E" ns2:textId="77777777" w:rsidR="00ED73C6" w:rsidRDefault="00000000">
            <w:r>
              <w:rPr>
                <w:b/>
                <w:bCs/>
                <w:color w:val="1F4E8F"/>
                <w:sz w:val="20"/>
                <w:szCs w:val="20"/>
              </w:rPr>
              <w:t>Cómo interpretar el resultado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ai_assigned_strategy</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Estrategia de reutilización asignada al lote</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Animal feed | Composting | Biochar | Biomass combustion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Es la decisión operativa: a qué vía enviar el lote</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ai_assignment_source</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str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Origen de la decisión</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exact_min_emissions | capacity_fallback</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exact_min_emissions = solución óptima probada por el MILP; capacity_fallback = guarda defensiva (no ocurre con las capacidades por defecto)</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ai_is_fallback</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bool</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True si se usó la guarda defensiva en vez del MILP</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true/false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Señal de alerta operativa si aparece con frecuencia: indica capacidades insuficientes para el volumen entrante</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estimated_emissions_kg</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float (kg CO2)</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Emisión de CO2 estimada del lote bajo la estrategia asignada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positivo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Menor es mejor; es la magnitud que minimiza el MILP</w:t>
            </w:r>
          </w:p>
        </w:tc>
      </w:tr>
      <w:tr w:rsidR="00ED73C6" ns2:paraId="4B6C9425"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132C6A4" ns2:textId="77777777" w:rsidR="00ED73C6" w:rsidRDefault="00000000">
            <w:r>
              <w:t xml:space="preserve">distribution / capacity_fallback_count / total_estimated_emissions_kg</w:t>
            </w:r>
          </w:p>
        </w:tc>
        <w:tc>
          <w:tcPr>
            <w:tcW w:w="1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3FB4F47" ns2:textId="77777777" w:rsidR="00ED73C6" w:rsidRDefault="00000000">
            <w:r>
              <w:t xml:space="preserve">dict / int / float</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B1D3E7E" ns2:textId="77777777" w:rsidR="00ED73C6" w:rsidRDefault="00000000">
            <w:r>
              <w:t xml:space="preserve">Agregados de la petición: conteo/% por estrategia, nº de lotes en guarda defensiva y emisión total estimada</w:t>
            </w:r>
          </w:p>
        </w:tc>
        <w:tc>
          <w:tcPr>
            <w:tcW w:w="17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5BF35099" ns2:textId="77777777" w:rsidR="00ED73C6" w:rsidRDefault="00000000">
            <w:r>
              <w:t xml:space="preserv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067DBEB" ns2:textId="77777777" w:rsidR="00ED73C6" w:rsidRDefault="00000000">
            <w:r>
              <w:t xml:space="preserve">Resumen de la tanda de lotes procesada, útil para un lote o para un batch completo</w:t>
            </w:r>
          </w:p>
        </w:tc>
      </w:tr>
    </w:tbl>
    <w:p ns2:paraId="3CB96C1C" ns2:textId="58E5926D" w:rsidR="00ED73C6" w:rsidRDefault="00D12B9E" w:rsidP="00D12B9E">
      <w:pPr>
        <w:pStyle w:val="Descripcin"/>
        <w:jc w:val="center"/>
      </w:pPr>
      <w:bookmarkStart w:id="11" w:name="_Toc233977642"/>
      <w:r>
        <w:t xml:space="preserve">Tabla </w:t>
      </w:r>
      <w:fldSimple w:instr=" SEQ Tabla \* ARABIC ">
        <w:r>
          <w:rPr>
            <w:noProof/>
          </w:rPr>
          <w:t>4</w:t>
        </w:r>
      </w:fldSimple>
      <w:r>
        <w:t xml:space="preserve"> Campos de salida (outputs)</w:t>
      </w:r>
      <w:bookmarkEnd w:id="11"/>
    </w:p>
    <w:p ns2:paraId="30754C35" ns2:textId="77777777" w:rsidR="00ED73C6" w:rsidRPr="00D12B9E" w:rsidRDefault="00000000" w:rsidP="00D12B9E">
      <w:pPr>
        <w:pStyle w:val="Ttulo1"/>
        <w:jc w:val="left"/>
      </w:pPr>
      <w:bookmarkStart w:id="12" w:name="_Toc233977726"/>
      <w:r>
        <w:t>4. Métricas de evaluación</w:t>
      </w:r>
      <w:bookmarkEnd w:id="12"/>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40"/>
        <w:gridCol w:w="2340"/>
        <w:gridCol w:w="2340"/>
        <w:gridCol w:w="2340"/>
      </w:tblGrid>
      <w:tr w:rsidR="00ED73C6" ns2:paraId="663A768A" ns2:textId="77777777">
        <w:trPr>
          <w:tblHeader/>
        </w:trPr>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EF96586" ns2:textId="77777777" w:rsidR="00ED73C6" w:rsidRDefault="00000000">
            <w:r>
              <w:rPr>
                <w:b/>
                <w:bCs/>
                <w:color w:val="1F4E8F"/>
                <w:sz w:val="20"/>
                <w:szCs w:val="20"/>
              </w:rPr>
              <w:t>Métrica</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0B8781B" ns2:textId="77777777" w:rsidR="00ED73C6" w:rsidRDefault="00000000">
            <w:r>
              <w:rPr>
                <w:b/>
                <w:bCs/>
                <w:color w:val="1F4E8F"/>
                <w:sz w:val="20"/>
                <w:szCs w:val="20"/>
              </w:rPr>
              <w:t>Valor</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E48704" ns2:textId="77777777" w:rsidR="00ED73C6" w:rsidRDefault="00000000">
            <w:r>
              <w:rPr>
                <w:b/>
                <w:bCs/>
                <w:color w:val="1F4E8F"/>
                <w:sz w:val="20"/>
                <w:szCs w:val="20"/>
              </w:rPr>
              <w:t>Descripción</w:t>
            </w:r>
          </w:p>
        </w:tc>
        <w:tc>
          <w:tcPr>
            <w:tcW w:w="23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D1C6AD0" ns2:textId="77777777" w:rsidR="00ED73C6" w:rsidRDefault="00000000">
            <w:r>
              <w:rPr>
                <w:b/>
                <w:bCs/>
                <w:color w:val="1F4E8F"/>
                <w:sz w:val="20"/>
                <w:szCs w:val="20"/>
              </w:rPr>
              <w:t>Interpretación (qué significa para el usuario)</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Reducción de emisión vs baseline (declarada por el equipo de IA)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27.63 %</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models/metrics/inference_evaluation_report.json del delivery, sobre el split de test completo (10 000 filas) con capacidades por defecto, frente a una estrategia baseline sintética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motor exacto reduce en más de una cuarta parte la emisión simulada frente al reparto de referencia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Robustez Monte Carlo (memoria §7.2)</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media 27.66 % · p05 27.27 % · p95 28.04 %</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200 ejecuciones (semilla 42) muestreando la temperatura de proceso por estrategia desde distribuciones normales. Métrica diagnóstica adicional frente a la línea base observada del dataset: 27.39 %</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incluso el escenario desfavorable (p05) mantiene una reducción superior al 27 %, muy por encima del umbral conservador del 10 % que fija la memoria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Reducción vs ladder de comparación (declarada)</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exacto 27.63 % / codicioso 12.19 % / NEAT 11.31 %</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models/metrics/baseline_comparison.json: el MILP exacto (desplegado) domina al heurístico codicioso por lote y al benchmark neuroevolutivo por resolver todo el bloque a la vez, no lote a lote</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justifica por qué el motor desplegado es el MILP exacto y no la política aprendida</w:t>
            </w:r>
          </w:p>
        </w:tc>
      </w:tr>
      <w:tr w:rsidR="00ED73C6" ns2:paraId="66471EDA" ns2:textId="77777777">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31A7871" ns2:textId="77777777" w:rsidR="00ED73C6" w:rsidRDefault="00000000">
            <w:r>
              <w:t xml:space="preserve">Verificación golden dataset (post-integración)</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98B665D" ns2:textId="77777777" w:rsidR="00ED73C6" w:rsidRDefault="00000000">
            <w:r>
              <w:t xml:space="preserve">3/3 casos exactos + 10 000/10 000 filas exactas</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E2B30F" ns2:textId="77777777" w:rsidR="00ED73C6" w:rsidRDefault="00000000">
            <w:r>
              <w:t xml:space="preserve">Los 3 golden cases del manifest y, adicionalmente, el split de test completo (10 000 filas) reproducidos sin ninguna discrepancia frente a la salida auditada del delivery original — ver outputs/a33/verification_report.md</w:t>
            </w:r>
          </w:p>
        </w:tc>
        <w:tc>
          <w:tcPr>
            <w:tcW w:w="23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AFC25E8" ns2:textId="77777777" w:rsidR="00ED73C6" w:rsidRDefault="00000000">
            <w:r>
              <w:t xml:space="preserve">el port del motor a este repo es numéricamente idéntico al del equipo de IA, no una reimplementación aproximada</w:t>
            </w:r>
          </w:p>
        </w:tc>
      </w:tr>
    </w:tbl>
    <w:p ns2:paraId="1A7F9A77" ns2:textId="4488DBEE" w:rsidR="00ED73C6" w:rsidRDefault="00D12B9E" w:rsidP="00D12B9E">
      <w:pPr>
        <w:pStyle w:val="Descripcin"/>
        <w:jc w:val="center"/>
      </w:pPr>
      <w:bookmarkStart w:id="13" w:name="_Toc233977643"/>
      <w:r>
        <w:t xml:space="preserve">Tabla </w:t>
      </w:r>
      <w:fldSimple w:instr=" SEQ Tabla \* ARABIC ">
        <w:r>
          <w:rPr>
            <w:noProof/>
          </w:rPr>
          <w:t>5</w:t>
        </w:r>
      </w:fldSimple>
      <w:r>
        <w:t xml:space="preserve"> Métricas de evaluación</w:t>
      </w:r>
      <w:bookmarkEnd w:id="13"/>
    </w:p>
    <w:p ns2:paraId="2C5581FA" ns2:textId="77777777" w:rsidR="00ED73C6" w:rsidRPr="00D12B9E" w:rsidRDefault="00000000" w:rsidP="00D12B9E">
      <w:pPr>
        <w:pStyle w:val="Ttulo1"/>
        <w:jc w:val="left"/>
      </w:pPr>
      <w:bookmarkStart w:id="14" w:name="_Toc233977727"/>
      <w:r>
        <w:lastRenderedPageBreak/>
        <w:t>5. Limitaciones conocidas</w:t>
      </w:r>
      <w:bookmarkEnd w:id="14"/>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ED73C6" ns2:paraId="5ACF6CCD"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76816E1" ns2:textId="77777777" w:rsidR="00ED73C6"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F42A562" ns2:textId="77777777" w:rsidR="00ED73C6" w:rsidRDefault="00000000">
            <w:r>
              <w:rPr>
                <w:b/>
                <w:bCs/>
                <w:color w:val="1F4E8F"/>
                <w:sz w:val="20"/>
                <w:szCs w:val="20"/>
              </w:rPr>
              <w:t>Descripción (cuándo no usar / qué puede fallar)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Dataset sintético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Todo el dataset de referencia se generó por simulación (CTGAN + reglas causales configurables en config/data_generation_params.json), no procede de mediciones de planta real. El 27.63% de reducción es una estimación sobre un entorno de decisión sintético y requiere validación con datos reales antes de usarse como cifra operativa.</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No es un modelo aprendido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Es un solver de asignación exacta; su calidad depende de la fórmula de emisión por estrategia y de las capacidades configuradas, no de un entrenamiento con datos.</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'season' no afecta a la decisión</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campo season es obligatorio en el contrato de entrada pero la fórmula de emisión no lo utiliza — es vestigial del esquema de entrada del benchmark NEAT del delivery original.</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Capacidades solo configurables en modo inline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modo batch siempre usa el régimen de capacidades por defecto (90/140/45/10000 t); para simular otras capacidades hay que usar el modo inline.</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Latencia en CSV grandes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modo batch resuelve un MILP por cada bloque de forma secuencial dentro de una única petición HTTP síncrona; para el split de test completo (10 000 filas / 667 bloques) la respuesta tarda del orden de minutos en un entorno de un solo worker.</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NEAT no expuesto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delivery original incluye una política neuroevolutiva (NEAT) y su artefacto (winner_genome.pkl) como benchmark de referencia; este plugin implementa únicamente el motor MILP exacto, que la propia comparación del equipo de IA identifica como superior (27.63% vs 11.31% de NEAT).</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Optimiza solo emisiones, no costes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La función objetivo minimiza exclusivamente la huella de CO2 simulada. No incluye costes de procesamiento ni de transporte por tonelada, así que una asignación óptima en emisiones puede ser económicamente inviable para la explotación (memoria §10.2). La propia memoria propone una función multiobjetivo coste-emisiones como evolución natural.</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Semilla sintética que refuerza los supuestos de partida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El generador CTGAN se entrenó con solo 1.500 registros semilla construidos a partir de reglas termodinámicas y penalizaciones impuestas por los desarrolladores. No descubre patrones del mundo real, amplifica esos supuestos, y el óptimo calculado hereda cualquier sesgo del simulador de emisiones (memoria §10.1).</w:t>
            </w:r>
          </w:p>
        </w:tc>
      </w:tr>
      <w:tr w:rsidR="00ED73C6" ns2:paraId="221304F4"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6419EF2" ns2:textId="77777777" w:rsidR="00ED73C6" w:rsidRDefault="00000000">
            <w:r>
              <w:t xml:space="preserve">Escalabilidad del solver</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E7B7A63" ns2:textId="77777777" w:rsidR="00ED73C6" w:rsidRDefault="00000000">
            <w:r>
              <w:t xml:space="preserve">Cada bloque de 15 lotes se resuelve en milisegundos, pero el problema de asignación generalizada es NP-duro en general. Bloques mucho mayores (lots_per_day alto) exigirían resolver por sub-bloques o fijar un límite de tiempo al solver (memoria §10.2).</w:t>
            </w:r>
          </w:p>
        </w:tc>
      </w:tr>
    </w:tbl>
    <w:p ns2:paraId="23E22C97" ns2:textId="02183EA3" w:rsidR="00ED73C6" w:rsidRDefault="00D12B9E" w:rsidP="00D12B9E">
      <w:pPr>
        <w:pStyle w:val="Descripcin"/>
        <w:jc w:val="center"/>
      </w:pPr>
      <w:bookmarkStart w:id="15" w:name="_Toc233977644"/>
      <w:r>
        <w:t xml:space="preserve">Tabla </w:t>
      </w:r>
      <w:fldSimple w:instr=" SEQ Tabla \* ARABIC ">
        <w:r>
          <w:rPr>
            <w:noProof/>
          </w:rPr>
          <w:t>6</w:t>
        </w:r>
      </w:fldSimple>
      <w:r>
        <w:t xml:space="preserve"> Limitaciones conocidas</w:t>
      </w:r>
      <w:bookmarkEnd w:id="15"/>
    </w:p>
    <w:p ns2:paraId="36D55773" ns2:textId="77777777" w:rsidR="00ED73C6" w:rsidRPr="00D12B9E" w:rsidRDefault="00000000" w:rsidP="00D12B9E">
      <w:pPr>
        <w:pStyle w:val="Ttulo1"/>
        <w:jc w:val="left"/>
      </w:pPr>
      <w:bookmarkStart w:id="16" w:name="_Toc233977728"/>
      <w:r>
        <w:t>6. Observaciones técnicas</w:t>
      </w:r>
      <w:bookmarkEnd w:id="16"/>
    </w:p>
    <w:p ns2:paraId="3188B244" ns2:textId="77777777" w:rsidR="00ED73C6" w:rsidRDefault="00000000" w:rsidP="00D12B9E">
      <w:pPr>
        <w:jc w:val="both"/>
      </w:pPr>
      <w:r>
        <w:t xml:space="preserve">Ejecutable en CPU, sin GPU ni dependencias pesadas de ML (única dependencia nueva: scipy&gt;=1.11.0, ya transitiva vía scikit-learn en este repo, añadida explícitamente a requirements.txt por ser ahora importada directamente). Determinista y reproducible: sin semilla aleatoria, sin artefactos que cargar. Solve MILP del orden de milisegundos por bloque de 15 lotes; un batch de 10 000 filas (667 bloques) tarda del orden de minutos en un entorno de un solo worker por ser secuencial dentro de una petición síncrona. mlflow_utils.py presente por convención del repo (siempre devuelve None: no hay artefacto de usuario que descargar). train() → HTTP 501. Sin excepción de dominio nueva: la infactibilidad se resuelve con una guarda defensiva interna (ai_assignment_source=capacity_fallback), no con un error 422.</w:t>
      </w:r>
    </w:p>
    <w:p ns2:paraId="642BAC39" ns2:textId="77777777" w:rsidR="00ED73C6" w:rsidRDefault="00ED73C6"/>
    <w:p ns2:paraId="6AE49187" ns2:textId="77777777" w:rsidR="00D12B9E" w:rsidRDefault="00D12B9E"/>
    <w:p ns2:paraId="3CCD1455" ns2:textId="77777777" w:rsidR="00D12B9E" w:rsidRDefault="00D12B9E"/>
    <w:p ns2:paraId="03DFC7FC" ns2:textId="77777777" w:rsidR="00D12B9E" w:rsidRDefault="00D12B9E"/>
    <w:p ns2:paraId="3E74D38E" ns2:textId="77777777" w:rsidR="00D12B9E" w:rsidRDefault="00D12B9E"/>
    <w:p ns2:paraId="0B8151BB" ns2:textId="77777777" w:rsidR="00D12B9E" w:rsidRDefault="00D12B9E"/>
    <w:p ns2:paraId="53E05546" ns2:textId="77777777" w:rsidR="00D12B9E" w:rsidRDefault="00D12B9E"/>
    <w:p ns2:paraId="7A7AF885" ns2:textId="77777777" w:rsidR="00ED73C6" w:rsidRPr="00D12B9E" w:rsidRDefault="00000000" w:rsidP="00D12B9E">
      <w:pPr>
        <w:pStyle w:val="Ttulo1"/>
        <w:jc w:val="left"/>
      </w:pPr>
      <w:bookmarkStart w:id="17" w:name="_Toc233977729"/>
      <w:r>
        <w:lastRenderedPageBreak/>
        <w:t>7. Fichero de prueba de referencia</w:t>
      </w:r>
      <w:bookmarkEnd w:id="17"/>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ED73C6" ns2:paraId="7CCEFE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A9D0325" ns2:textId="77777777" w:rsidR="00ED73C6" w:rsidRDefault="00000000">
            <w:r>
              <w:rPr>
                <w:b/>
                <w:bCs/>
                <w:color w:val="333333"/>
                <w:sz w:val="20"/>
                <w:szCs w:val="20"/>
              </w:rPr>
              <w:t>Nombre del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548E93F5" ns2:textId="77777777" w:rsidR="00ED73C6" w:rsidRDefault="00000000">
            <w:r>
              <w:t xml:space="preserve">Golden dataset del manifest (inbox/a33/manifest.yaml): 2 bloques de 15 lotes consecutivos de data/split/dataset_optimization_cereal_co2_test_raw.csv + data/predictions/inference_with_constraints.csv, y el split de test completo (10 000 filas) como verificación exhaustiva adicional.</w:t>
            </w:r>
          </w:p>
        </w:tc>
      </w:tr>
      <w:tr w:rsidR="00ED73C6" ns2:paraId="183575F5"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C17FEDB" ns2:textId="77777777" w:rsidR="00ED73C6" w:rsidRDefault="00000000">
            <w:r>
              <w:rPr>
                <w:b/>
                <w:bCs/>
                <w:color w:val="333333"/>
                <w:sz w:val="20"/>
                <w:szCs w:val="20"/>
              </w:rPr>
              <w:t>Número de registros / muestras</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F98E928" ns2:textId="77777777" w:rsidR="00ED73C6" w:rsidRDefault="00000000">
            <w:r>
              <w:t xml:space="preserve">3 golden cases (2 bloques de 15 lotes + 1 caso agregado sobre 10 000 filas), más verificación exhaustiva fila a fila sobre las 10 000 filas completas del split de test original.</w:t>
            </w:r>
          </w:p>
        </w:tc>
      </w:tr>
      <w:tr w:rsidR="00ED73C6" ns2:paraId="1BF4E262"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5FAE3FC" ns2:textId="77777777" w:rsidR="00ED73C6" w:rsidRDefault="00000000">
            <w:r>
              <w:rPr>
                <w:b/>
                <w:bCs/>
                <w:color w:val="333333"/>
                <w:sz w:val="20"/>
                <w:szCs w:val="20"/>
              </w:rPr>
              <w:t>Resultado esperado con este fichero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5092C4A" ns2:textId="77777777" w:rsidR="00ED73C6" w:rsidRDefault="00000000">
            <w:r>
              <w:t xml:space="preserve">3/3 golden cases reproducidos exactos (asignación categórica sin margen de tolerancia) y 10 000/10 000 filas del split de test completo sin ninguna discrepancia frente a la salida auditada del delivery original (distribución 37.18/27.27/17.86/17.69% y emisión total 30 893 908.4 kg, ambas exactas). Ver outputs/a33/verification_report.md.</w:t>
            </w:r>
          </w:p>
        </w:tc>
      </w:tr>
    </w:tbl>
    <w:p ns2:paraId="3773E7D0" ns2:textId="48983DD0" w:rsidR="00ED73C6" w:rsidRPr="00D12B9E" w:rsidRDefault="00D12B9E" w:rsidP="00D12B9E">
      <w:pPr>
        <w:pStyle w:val="Descripcin"/>
        <w:jc w:val="center"/>
      </w:pPr>
      <w:bookmarkStart w:id="18" w:name="_Toc233977645"/>
      <w:r>
        <w:t xml:space="preserve">Tabla </w:t>
      </w:r>
      <w:fldSimple w:instr=" SEQ Tabla \* ARABIC ">
        <w:r>
          <w:rPr>
            <w:noProof/>
          </w:rPr>
          <w:t>7</w:t>
        </w:r>
      </w:fldSimple>
      <w:r>
        <w:t xml:space="preserve"> Fichero de prueba de referencia</w:t>
      </w:r>
      <w:bookmarkEnd w:id="18"/>
    </w:p>
    <w:sectPr w:rsidR="00ED73C6" w:rsidRPr="00D12B9E">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FA726" w14:textId="77777777" w:rsidR="000E5724" w:rsidRDefault="000E5724">
      <w:pPr>
        <w:spacing w:after="0" w:line="240" w:lineRule="auto"/>
      </w:pPr>
      <w:r>
        <w:separator/>
      </w:r>
    </w:p>
  </w:endnote>
  <w:endnote w:type="continuationSeparator" w:id="0">
    <w:p w14:paraId="21FE15F5" w14:textId="77777777" w:rsidR="000E5724" w:rsidRDefault="000E57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36FB1C44-2676-4001-A327-AC3003BC81EC}"/>
    <w:embedBold r:id="rId2" w:fontKey="{46334A53-E532-42E9-B96D-DA6F2CEA8D03}"/>
    <w:embedBoldItalic r:id="rId3" w:fontKey="{C7280446-0DEE-42AC-8C67-D69E184D305D}"/>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D814D2DA-925F-447E-A1F4-66FF798C0A97}"/>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15722DF2-2A9D-4D45-81D1-01358B92A3DA}"/>
    <w:embedBold r:id="rId6" w:fontKey="{68C3AE59-F455-4CAD-BC39-A4B0588B9D7D}"/>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1838" w14:textId="77777777" w:rsidR="00ED73C6"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F96D757" wp14:editId="68D00BDB">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1063B5F1" wp14:editId="5C4788CF">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3F58581F" wp14:editId="3B397ED2">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27C304CC" wp14:editId="7F9BDD06">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7907EF70" w14:textId="77777777" w:rsidR="00ED73C6" w:rsidRDefault="00ED73C6">
    <w:pPr>
      <w:pBdr>
        <w:top w:val="single" w:sz="4" w:space="1" w:color="D9D9D9"/>
        <w:left w:val="nil"/>
        <w:bottom w:val="nil"/>
        <w:right w:val="nil"/>
        <w:between w:val="nil"/>
      </w:pBdr>
      <w:tabs>
        <w:tab w:val="center" w:pos="4252"/>
        <w:tab w:val="right" w:pos="8504"/>
      </w:tabs>
      <w:spacing w:after="0" w:line="240" w:lineRule="auto"/>
      <w:rPr>
        <w:b/>
        <w:bCs/>
        <w:color w:val="000000"/>
      </w:rPr>
    </w:pPr>
  </w:p>
  <w:p w14:paraId="40798663"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29044"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197B23FF" wp14:editId="2420A802">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13DA1B50" wp14:editId="31568396">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5F02DBD2" wp14:editId="0BB7E853">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2958743F" wp14:editId="4170624A">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14B57CDD"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p w14:paraId="1183DCF1" w14:textId="77777777" w:rsidR="00ED73C6" w:rsidRDefault="00ED73C6">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AC181" w14:textId="77777777" w:rsidR="000E5724" w:rsidRDefault="000E5724">
      <w:pPr>
        <w:spacing w:after="0" w:line="240" w:lineRule="auto"/>
      </w:pPr>
      <w:r>
        <w:separator/>
      </w:r>
    </w:p>
  </w:footnote>
  <w:footnote w:type="continuationSeparator" w:id="0">
    <w:p w14:paraId="002C7F34" w14:textId="77777777" w:rsidR="000E5724" w:rsidRDefault="000E57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80DA"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7A7276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5C506"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142C8EEB" wp14:editId="0C737683">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35443931" w14:textId="77777777" w:rsidR="00ED73C6"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D12B9E">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técnica – Modelo a33 (</w:t>
    </w:r>
    <w:proofErr w:type="spellStart"/>
    <w:r>
      <w:rPr>
        <w:rFonts w:ascii="Liberalisation sans narrow" w:eastAsia="Liberalisation sans narrow" w:hAnsi="Liberalisation sans narrow" w:cs="Liberalisation sans narrow"/>
        <w:color w:val="000000"/>
      </w:rPr>
      <w:t xml:space="preserve">cereals-reuse-strategy-optimizer</w:t>
    </w:r>
    <w:proofErr w:type="spellEnd"/>
    <w:r>
      <w:rPr>
        <w:rFonts w:ascii="Liberalisation sans narrow" w:eastAsia="Liberalisation sans narrow" w:hAnsi="Liberalisation sans narrow" w:cs="Liberalisation sans narrow"/>
        <w:color w:val="000000"/>
      </w:rPr>
      <w:t>)</w:t>
    </w:r>
  </w:p>
  <w:p w14:paraId="1552E79E" w14:textId="77777777" w:rsidR="00ED73C6"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449628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3B5816"/>
    <w:multiLevelType w:val="multilevel"/>
    <w:tmpl w:val="38825718"/>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847403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3C6"/>
    <w:rsid w:val="000E5724"/>
    <w:rsid w:val="004B6D60"/>
    <w:rsid w:val="00D12B9E"/>
    <w:rsid w:val="00ED73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8250F"/>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3541E44-53E1-4E1E-8B81-150EFAC1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10</Pages>
  <Words>1432</Words>
  <Characters>7877</Characters>
  <Application>Microsoft Office Word</Application>
  <DocSecurity>0</DocSecurity>
  <Lines>65</Lines>
  <Paragraphs>18</Paragraphs>
  <ScaleCrop>false</ScaleCrop>
  <Company/>
  <LinksUpToDate>false</LinksUpToDate>
  <CharactersWithSpaces>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2026-07-03T11:29:00Z</dcterms:created>
  <dcterms:modified xsi:type="dcterms:W3CDTF">2026-07-03T11:29:00Z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