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Plantilla de Metadatos — Modelo ML14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694"/>
          </w:tcPr>
          <w:p>
            <w:r>
              <w:rPr>
                <w:b/>
                <w:color w:val="FFFFFF"/>
                <w:sz w:val="22"/>
              </w:rPr>
              <w:t>Campo</w:t>
            </w:r>
          </w:p>
        </w:tc>
        <w:tc>
          <w:tcPr>
            <w:tcW w:type="dxa" w:w="4320"/>
            <w:shd w:val="clear" w:color="auto" w:fill="2E5694"/>
          </w:tcPr>
          <w:p>
            <w:r>
              <w:rPr>
                <w:b/>
                <w:color w:val="FFFFFF"/>
                <w:sz w:val="22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Identificador del modelo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ml14-wine-phyto-price-forecast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Nombre completo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Desarrollo de un modelo de análisis de precios de mercado de productos fitosanitarios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Acrónimo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N/A — no se ha encontrado acrónimo en el entregable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Sector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Vitivinícola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Versión del modelo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2.0.0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Versión de la memoria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v1.3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Fecha de versión de la memoria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07/07/2026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Tipo de modelo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Regresión de serie temporal (forecasting semanal, horizonte t+16 semanas) — LSTM sobre residual de un baseline de drift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Variable objetivo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PROTECCION_FITO — índice MAPA de precios de protección fitosanitaria (base 2020=100), a horizonte t+16 semanas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Framework principal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PyTorch 2.10.0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Organismo desarrollador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AIR Institute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Lote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N/A — no especificado en el entregable</w:t>
            </w:r>
          </w:p>
        </w:tc>
      </w:tr>
    </w:tbl>
    <w:p/>
    <w:p>
      <w:pPr>
        <w:pStyle w:val="Heading2"/>
      </w:pPr>
      <w:r>
        <w:t>Artefactos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694"/>
          </w:tcPr>
          <w:p>
            <w:r>
              <w:rPr>
                <w:b/>
                <w:color w:val="FFFFFF"/>
                <w:sz w:val="22"/>
              </w:rPr>
              <w:t>Fichero</w:t>
            </w:r>
          </w:p>
        </w:tc>
        <w:tc>
          <w:tcPr>
            <w:tcW w:type="dxa" w:w="2880"/>
            <w:shd w:val="clear" w:color="auto" w:fill="2E5694"/>
          </w:tcPr>
          <w:p>
            <w:r>
              <w:rPr>
                <w:b/>
                <w:color w:val="FFFFFF"/>
                <w:sz w:val="22"/>
              </w:rPr>
              <w:t>Tipo</w:t>
            </w:r>
          </w:p>
        </w:tc>
        <w:tc>
          <w:tcPr>
            <w:tcW w:type="dxa" w:w="2880"/>
            <w:shd w:val="clear" w:color="auto" w:fill="2E5694"/>
          </w:tcPr>
          <w:p>
            <w:r>
              <w:rPr>
                <w:b/>
                <w:color w:val="FFFFFF"/>
                <w:sz w:val="22"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sz w:val="22"/>
              </w:rPr>
              <w:t>lstm_model.pt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State dict PyTorch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LSTM 2 capas, hidden_size=64, dropout=0.3 (60.225 parámetros) — modelo seleccionado por validación, ver estado de aceptación en el manifest</w:t>
            </w:r>
          </w:p>
        </w:tc>
      </w:tr>
      <w:tr>
        <w:tc>
          <w:tcPr>
            <w:tcW w:type="dxa" w:w="2880"/>
          </w:tcPr>
          <w:p>
            <w:r>
              <w:rPr>
                <w:sz w:val="22"/>
              </w:rPr>
              <w:t>preprocessing.json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Scalers congelados (JSON)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StandardScaler de entrada (39 features) y de objetivo (residual), ajustados solo sobre train</w:t>
            </w:r>
          </w:p>
        </w:tc>
      </w:tr>
      <w:tr>
        <w:tc>
          <w:tcPr>
            <w:tcW w:type="dxa" w:w="2880"/>
          </w:tcPr>
          <w:p>
            <w:r>
              <w:rPr>
                <w:sz w:val="22"/>
              </w:rPr>
              <w:t>lstm_features.json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Contrato de features (JSON)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Orden vinculante de las 39 features del modelo</w:t>
            </w:r>
          </w:p>
        </w:tc>
      </w:tr>
    </w:tbl>
    <w:p/>
    <w:p>
      <w:pPr>
        <w:pStyle w:val="Heading2"/>
      </w:pPr>
      <w:r>
        <w:t>Librerías principales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694"/>
          </w:tcPr>
          <w:p>
            <w:r>
              <w:rPr>
                <w:b/>
                <w:color w:val="FFFFFF"/>
                <w:sz w:val="22"/>
              </w:rPr>
              <w:t>Librería</w:t>
            </w:r>
          </w:p>
        </w:tc>
        <w:tc>
          <w:tcPr>
            <w:tcW w:type="dxa" w:w="4320"/>
            <w:shd w:val="clear" w:color="auto" w:fill="2E5694"/>
          </w:tcPr>
          <w:p>
            <w:r>
              <w:rPr>
                <w:b/>
                <w:color w:val="FFFFFF"/>
                <w:sz w:val="22"/>
              </w:rPr>
              <w:t>Versión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torch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2.10.0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pandas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3.0.1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numpy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2.4.3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