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Ficha Funcional — ml35-dairy-ann-cleaning-cost</w:t>
      </w:r>
    </w:p>
    <w:p>
      <w:pPr>
        <w:jc w:val="center"/>
      </w:pPr>
      <w:r>
        <w:t>Optimización del consumo de agua de refrigeración en pasteurización láctea</w:t>
      </w:r>
    </w:p>
    <w:p/>
    <w:p>
      <w:pPr>
        <w:pStyle w:val="Heading2"/>
      </w:pPr>
      <w:r>
        <w:t>1. Descripción del Problema de Negocio</w:t>
      </w:r>
    </w:p>
    <w:p>
      <w:r>
        <w:t>En plantas de pasteurización HTST (High Temperature Short Time), el agua de refrigeración es un recurso crítico que supone un coste operativo significativo y un impacto ambiental medible. El consumo no es constante: depende de la temperatura de la leche entrante, las condiciones ambientales, los setpoints de operación y el grado de ensuciamiento (fouling) del intercambiador de calor, que aumenta con las horas de uso.</w:t>
      </w:r>
    </w:p>
    <w:p>
      <w:r>
        <w:t>El desafío para el operario es encontrar la combinación óptima de setpoints de temperatura y flujo que minimice el agua consumida sin comprometer la seguridad microbiológica del producto (la leche debe pasteurizarse correctamente).</w:t>
      </w:r>
    </w:p>
    <w:p/>
    <w:p>
      <w:pPr>
        <w:pStyle w:val="Heading2"/>
      </w:pPr>
      <w:r>
        <w:t>2. Objetivo y KPI</w:t>
      </w:r>
    </w:p>
    <w:p>
      <w:r>
        <w:t>El sistema tiene como objetivo reducir el consumo de agua de refrigeración en más de un 15% respecto a la operación con setpoints estándar (80 °C de temperatura de leche, 88 °C de agua de servicio, 3500 L/h de caudal), manteniendo la seguridad microbiológica del producto (PU ≥ 13).</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5694"/>
          </w:tcPr>
          <w:p>
            <w:r>
              <w:rPr>
                <w:b/>
                <w:color w:val="FFFFFF"/>
                <w:sz w:val="20"/>
              </w:rPr>
              <w:t>KPI</w:t>
            </w:r>
          </w:p>
        </w:tc>
        <w:tc>
          <w:tcPr>
            <w:tcW w:type="dxa" w:w="2880"/>
            <w:shd w:val="clear" w:color="auto" w:fill="2E5694"/>
          </w:tcPr>
          <w:p>
            <w:r>
              <w:rPr>
                <w:b/>
                <w:color w:val="FFFFFF"/>
                <w:sz w:val="20"/>
              </w:rPr>
              <w:t>Umbral exigido</w:t>
            </w:r>
          </w:p>
        </w:tc>
        <w:tc>
          <w:tcPr>
            <w:tcW w:type="dxa" w:w="2880"/>
            <w:shd w:val="clear" w:color="auto" w:fill="2E5694"/>
          </w:tcPr>
          <w:p>
            <w:r>
              <w:rPr>
                <w:b/>
                <w:color w:val="FFFFFF"/>
                <w:sz w:val="20"/>
              </w:rPr>
              <w:t>Resultado validado (simulación)</w:t>
            </w:r>
          </w:p>
        </w:tc>
      </w:tr>
      <w:tr>
        <w:tc>
          <w:tcPr>
            <w:tcW w:type="dxa" w:w="2880"/>
          </w:tcPr>
          <w:p>
            <w:r>
              <w:rPr>
                <w:sz w:val="20"/>
              </w:rPr>
              <w:t>Ahorro mínimo de agua vs. baseline</w:t>
            </w:r>
          </w:p>
        </w:tc>
        <w:tc>
          <w:tcPr>
            <w:tcW w:type="dxa" w:w="2880"/>
          </w:tcPr>
          <w:p>
            <w:r>
              <w:rPr>
                <w:sz w:val="20"/>
              </w:rPr>
              <w:t>≥ 15%</w:t>
            </w:r>
          </w:p>
        </w:tc>
        <w:tc>
          <w:tcPr>
            <w:tcW w:type="dxa" w:w="2880"/>
          </w:tcPr>
          <w:p>
            <w:r>
              <w:rPr>
                <w:sz w:val="20"/>
              </w:rPr>
              <w:t>Media 34.45% (mín 33.09%, máx 36.11%) en 20 escenarios auditados</w:t>
            </w:r>
          </w:p>
        </w:tc>
      </w:tr>
      <w:tr>
        <w:tc>
          <w:tcPr>
            <w:tcW w:type="dxa" w:w="2880"/>
          </w:tcPr>
          <w:p>
            <w:r>
              <w:rPr>
                <w:sz w:val="20"/>
              </w:rPr>
              <w:t>Seguridad microbiológica (PU)</w:t>
            </w:r>
          </w:p>
        </w:tc>
        <w:tc>
          <w:tcPr>
            <w:tcW w:type="dxa" w:w="2880"/>
          </w:tcPr>
          <w:p>
            <w:r>
              <w:rPr>
                <w:sz w:val="20"/>
              </w:rPr>
              <w:t>≥ 13</w:t>
            </w:r>
          </w:p>
        </w:tc>
        <w:tc>
          <w:tcPr>
            <w:tcW w:type="dxa" w:w="2880"/>
          </w:tcPr>
          <w:p>
            <w:r>
              <w:rPr>
                <w:sz w:val="20"/>
              </w:rPr>
              <w:t>PU mínimo 22.95 en todos los escenarios</w:t>
            </w:r>
          </w:p>
        </w:tc>
      </w:tr>
      <w:tr>
        <w:tc>
          <w:tcPr>
            <w:tcW w:type="dxa" w:w="2880"/>
          </w:tcPr>
          <w:p>
            <w:r>
              <w:rPr>
                <w:sz w:val="20"/>
              </w:rPr>
              <w:t>MAE Relativo del predictor ANN</w:t>
            </w:r>
          </w:p>
        </w:tc>
        <w:tc>
          <w:tcPr>
            <w:tcW w:type="dxa" w:w="2880"/>
          </w:tcPr>
          <w:p>
            <w:r>
              <w:rPr>
                <w:sz w:val="20"/>
              </w:rPr>
              <w:t>&lt; 5%</w:t>
            </w:r>
          </w:p>
        </w:tc>
        <w:tc>
          <w:tcPr>
            <w:tcW w:type="dxa" w:w="2880"/>
          </w:tcPr>
          <w:p>
            <w:r>
              <w:rPr>
                <w:sz w:val="20"/>
              </w:rPr>
              <w:t>1.39%</w:t>
            </w:r>
          </w:p>
        </w:tc>
      </w:tr>
      <w:tr>
        <w:tc>
          <w:tcPr>
            <w:tcW w:type="dxa" w:w="2880"/>
          </w:tcPr>
          <w:p>
            <w:r>
              <w:rPr>
                <w:sz w:val="20"/>
              </w:rPr>
              <w:t>R² del predictor ANN</w:t>
            </w:r>
          </w:p>
        </w:tc>
        <w:tc>
          <w:tcPr>
            <w:tcW w:type="dxa" w:w="2880"/>
          </w:tcPr>
          <w:p>
            <w:r>
              <w:rPr>
                <w:sz w:val="20"/>
              </w:rPr>
              <w:t>≥ 0.90</w:t>
            </w:r>
          </w:p>
        </w:tc>
        <w:tc>
          <w:tcPr>
            <w:tcW w:type="dxa" w:w="2880"/>
          </w:tcPr>
          <w:p>
            <w:r>
              <w:rPr>
                <w:sz w:val="20"/>
              </w:rPr>
              <w:t>0.9932</w:t>
            </w:r>
          </w:p>
        </w:tc>
      </w:tr>
    </w:tbl>
    <w:p>
      <w:r>
        <w:br/>
        <w:t>⚠ AVISO: Los resultados de optimización provienen de un modelo entrenado con datos sintéticos generados mediante simulación física. Deben interpretarse como evidencia de optimización bajo simulación, no como validación directa de eficiencia industrial. Requieren validación con datos reales antes del despliegue en producción.</w:t>
      </w:r>
    </w:p>
    <w:p/>
    <w:p>
      <w:pPr>
        <w:pStyle w:val="Heading2"/>
      </w:pPr>
      <w:r>
        <w:t>3. Modos de Uso</w:t>
      </w:r>
    </w:p>
    <w:p>
      <w:pPr>
        <w:pStyle w:val="Heading3"/>
      </w:pPr>
      <w:r>
        <w:t>3.1 Modo Predicción (predict)</w:t>
      </w:r>
    </w:p>
    <w:p>
      <w:r>
        <w:t>Dada una situación concreta de la planta (temperatura de la leche, temperatura ambiente, horas desde la última limpieza, presión diferencial, y los setpoints actuales de operación), el sistema predice cuántos litros de agua de refrigeración se consumirán en el ciclo. También calcula y devuelve las unidades de pasteurización (PU) logradas con esa configuración.</w:t>
      </w:r>
    </w:p>
    <w:p>
      <w:r>
        <w:t>Si el operario introduce setpoints que violarían la seguridad alimentaria (temperatura &lt; 72 °C o PU &lt; 13), el sistema rechaza la solicitud con un aviso claro.</w:t>
      </w:r>
    </w:p>
    <w:p>
      <w:pPr>
        <w:pStyle w:val="Heading3"/>
      </w:pPr>
      <w:r>
        <w:t>3.2 Modo Optimización (optimize)</w:t>
      </w:r>
    </w:p>
    <w:p>
      <w:r>
        <w:t>Dado el contexto actual de la planta (temperatura de entrada, temperatura ambiente, horas de uso y presión diferencial), el sistema ejecuta automáticamente un Algoritmo Genético que explora miles de combinaciones de setpoints y devuelve la configuración óptima que minimiza el consumo de agua garantizando PU ≥ 13. El resultado incluye:</w:t>
      </w:r>
    </w:p>
    <w:p>
      <w:pPr>
        <w:pStyle w:val="ListBullet"/>
      </w:pPr>
      <w:r>
        <w:t>Los setpoints recomendados (temperatura de leche, temperatura de agua, caudal).</w:t>
      </w:r>
    </w:p>
    <w:p>
      <w:pPr>
        <w:pStyle w:val="ListBullet"/>
      </w:pPr>
      <w:r>
        <w:t>El consumo estimado con esos setpoints vs. el consumo con la operación estándar.</w:t>
      </w:r>
    </w:p>
    <w:p>
      <w:pPr>
        <w:pStyle w:val="ListBullet"/>
      </w:pPr>
      <w:r>
        <w:t>El porcentaje de ahorro logrado.</w:t>
      </w:r>
    </w:p>
    <w:p>
      <w:pPr>
        <w:pStyle w:val="ListBullet"/>
      </w:pPr>
      <w:r>
        <w:t>La confirmación de que la seguridad microbiológica queda garantizada (PU logrado).</w:t>
      </w:r>
    </w:p>
    <w:p>
      <w:pPr>
        <w:pStyle w:val="Heading3"/>
      </w:pPr>
      <w:r>
        <w:t>3.3 Modo Lote (batch)</w:t>
      </w:r>
    </w:p>
    <w:p>
      <w:r>
        <w:t>Permite procesar múltiples registros de una vez a partir de un fichero CSV, útil para análisis retrospectivo de consumo o planificación de turnos.</w:t>
      </w:r>
    </w:p>
    <w:p/>
    <w:p>
      <w:pPr>
        <w:pStyle w:val="Heading2"/>
      </w:pPr>
      <w:r>
        <w:t>4. Interfaz de Integración (API REST)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5694"/>
          </w:tcPr>
          <w:p>
            <w:r>
              <w:rPr>
                <w:b/>
                <w:color w:val="FFFFFF"/>
                <w:sz w:val="20"/>
              </w:rPr>
              <w:t>Endpoint</w:t>
            </w:r>
          </w:p>
        </w:tc>
        <w:tc>
          <w:tcPr>
            <w:tcW w:type="dxa" w:w="2880"/>
            <w:shd w:val="clear" w:color="auto" w:fill="2E5694"/>
          </w:tcPr>
          <w:p>
            <w:r>
              <w:rPr>
                <w:b/>
                <w:color w:val="FFFFFF"/>
                <w:sz w:val="20"/>
              </w:rPr>
              <w:t>Método</w:t>
            </w:r>
          </w:p>
        </w:tc>
        <w:tc>
          <w:tcPr>
            <w:tcW w:type="dxa" w:w="2880"/>
            <w:shd w:val="clear" w:color="auto" w:fill="2E5694"/>
          </w:tcPr>
          <w:p>
            <w:r>
              <w:rPr>
                <w:b/>
                <w:color w:val="FFFFFF"/>
                <w:sz w:val="20"/>
              </w:rPr>
              <w:t>Descripción</w:t>
            </w:r>
          </w:p>
        </w:tc>
      </w:tr>
      <w:tr>
        <w:tc>
          <w:tcPr>
            <w:tcW w:type="dxa" w:w="2880"/>
          </w:tcPr>
          <w:p>
            <w:r>
              <w:rPr>
                <w:sz w:val="20"/>
              </w:rPr>
              <w:t>GET /models/ml35-dairy-ann-cleaning-cost/health</w:t>
            </w:r>
          </w:p>
        </w:tc>
        <w:tc>
          <w:tcPr>
            <w:tcW w:type="dxa" w:w="2880"/>
          </w:tcPr>
          <w:p>
            <w:r>
              <w:rPr>
                <w:sz w:val="20"/>
              </w:rPr>
              <w:t>GET</w:t>
            </w:r>
          </w:p>
        </w:tc>
        <w:tc>
          <w:tcPr>
            <w:tcW w:type="dxa" w:w="2880"/>
          </w:tcPr>
          <w:p>
            <w:r>
              <w:rPr>
                <w:sz w:val="20"/>
              </w:rPr>
              <w:t>Estado del servicio y carga del modelo</w:t>
            </w:r>
          </w:p>
        </w:tc>
      </w:tr>
      <w:tr>
        <w:tc>
          <w:tcPr>
            <w:tcW w:type="dxa" w:w="2880"/>
          </w:tcPr>
          <w:p>
            <w:r>
              <w:rPr>
                <w:sz w:val="20"/>
              </w:rPr>
              <w:t>GET /models/ml35-dairy-ann-cleaning-cost/stats</w:t>
            </w:r>
          </w:p>
        </w:tc>
        <w:tc>
          <w:tcPr>
            <w:tcW w:type="dxa" w:w="2880"/>
          </w:tcPr>
          <w:p>
            <w:r>
              <w:rPr>
                <w:sz w:val="20"/>
              </w:rPr>
              <w:t>GET</w:t>
            </w:r>
          </w:p>
        </w:tc>
        <w:tc>
          <w:tcPr>
            <w:tcW w:type="dxa" w:w="2880"/>
          </w:tcPr>
          <w:p>
            <w:r>
              <w:rPr>
                <w:sz w:val="20"/>
              </w:rPr>
              <w:t>Metadatos, esquema de entradas/salidas y métricas</w:t>
            </w:r>
          </w:p>
        </w:tc>
      </w:tr>
      <w:tr>
        <w:tc>
          <w:tcPr>
            <w:tcW w:type="dxa" w:w="2880"/>
          </w:tcPr>
          <w:p>
            <w:r>
              <w:rPr>
                <w:sz w:val="20"/>
              </w:rPr>
              <w:t>POST /models/ml35-dairy-ann-cleaning-cost/predict</w:t>
              <w:br/>
              <w:t xml:space="preserve">  Body: {"mode": "inline", ...8 variables...}</w:t>
            </w:r>
          </w:p>
        </w:tc>
        <w:tc>
          <w:tcPr>
            <w:tcW w:type="dxa" w:w="2880"/>
          </w:tcPr>
          <w:p>
            <w:r>
              <w:rPr>
                <w:sz w:val="20"/>
              </w:rPr>
              <w:t>POST</w:t>
            </w:r>
          </w:p>
        </w:tc>
        <w:tc>
          <w:tcPr>
            <w:tcW w:type="dxa" w:w="2880"/>
          </w:tcPr>
          <w:p>
            <w:r>
              <w:rPr>
                <w:sz w:val="20"/>
              </w:rPr>
              <w:t>Predicción individual de consumo</w:t>
            </w:r>
          </w:p>
        </w:tc>
      </w:tr>
      <w:tr>
        <w:tc>
          <w:tcPr>
            <w:tcW w:type="dxa" w:w="2880"/>
          </w:tcPr>
          <w:p>
            <w:r>
              <w:rPr>
                <w:sz w:val="20"/>
              </w:rPr>
              <w:t>POST /models/ml35-dairy-ann-cleaning-cost/predict</w:t>
              <w:br/>
              <w:t xml:space="preserve">  Body: {"mode": "optimize", ...4 variables contexto...}</w:t>
            </w:r>
          </w:p>
        </w:tc>
        <w:tc>
          <w:tcPr>
            <w:tcW w:type="dxa" w:w="2880"/>
          </w:tcPr>
          <w:p>
            <w:r>
              <w:rPr>
                <w:sz w:val="20"/>
              </w:rPr>
              <w:t>POST</w:t>
            </w:r>
          </w:p>
        </w:tc>
        <w:tc>
          <w:tcPr>
            <w:tcW w:type="dxa" w:w="2880"/>
          </w:tcPr>
          <w:p>
            <w:r>
              <w:rPr>
                <w:sz w:val="20"/>
              </w:rPr>
              <w:t>Optimización de setpoints con GA</w:t>
            </w:r>
          </w:p>
        </w:tc>
      </w:tr>
      <w:tr>
        <w:tc>
          <w:tcPr>
            <w:tcW w:type="dxa" w:w="2880"/>
          </w:tcPr>
          <w:p>
            <w:r>
              <w:rPr>
                <w:sz w:val="20"/>
              </w:rPr>
              <w:t>POST /models/ml35-dairy-ann-cleaning-cost/predict</w:t>
              <w:br/>
              <w:t xml:space="preserve">  Body: {"mode": "batch", "data_path": "..."}</w:t>
            </w:r>
          </w:p>
        </w:tc>
        <w:tc>
          <w:tcPr>
            <w:tcW w:type="dxa" w:w="2880"/>
          </w:tcPr>
          <w:p>
            <w:r>
              <w:rPr>
                <w:sz w:val="20"/>
              </w:rPr>
              <w:t>POST</w:t>
            </w:r>
          </w:p>
        </w:tc>
        <w:tc>
          <w:tcPr>
            <w:tcW w:type="dxa" w:w="2880"/>
          </w:tcPr>
          <w:p>
            <w:r>
              <w:rPr>
                <w:sz w:val="20"/>
              </w:rPr>
              <w:t>Predicción por lotes desde CSV</w:t>
            </w:r>
          </w:p>
        </w:tc>
      </w:tr>
      <w:tr>
        <w:tc>
          <w:tcPr>
            <w:tcW w:type="dxa" w:w="2880"/>
          </w:tcPr>
          <w:p>
            <w:r>
              <w:rPr>
                <w:sz w:val="20"/>
              </w:rPr>
              <w:t>POST /models/ml35-dairy-ann-cleaning-cost/train</w:t>
              <w:br/>
              <w:t xml:space="preserve">  Body: {"data_path": "..."}</w:t>
            </w:r>
          </w:p>
        </w:tc>
        <w:tc>
          <w:tcPr>
            <w:tcW w:type="dxa" w:w="2880"/>
          </w:tcPr>
          <w:p>
            <w:r>
              <w:rPr>
                <w:sz w:val="20"/>
              </w:rPr>
              <w:t>POST</w:t>
            </w:r>
          </w:p>
        </w:tc>
        <w:tc>
          <w:tcPr>
            <w:tcW w:type="dxa" w:w="2880"/>
          </w:tcPr>
          <w:p>
            <w:r>
              <w:rPr>
                <w:sz w:val="20"/>
              </w:rPr>
              <w:t>Fine-tuning del modelo con datos etiquetados del cliente</w:t>
            </w:r>
          </w:p>
        </w:tc>
      </w:tr>
    </w:tbl>
    <w:p/>
    <w:p>
      <w:pPr>
        <w:pStyle w:val="Heading2"/>
      </w:pPr>
      <w:r>
        <w:t>5. Capacidad de Fine-Tuning (Personalización)</w:t>
      </w:r>
    </w:p>
    <w:p>
      <w:r>
        <w:t>El modelo base fue entrenado con datos sintéticos de simulación. Para mejorar la precisión con datos reales de la planta del cliente, el servicio dispone de un endpoint /train que permite re-entrenar (fine-tune) los pesos de la red neuronal con nuevos registros etiquetados (requiere columna consumo_agua_l en el CSV). El proceso conserva los escaladores originales y actualiza únicamente los pesos del modelo.</w:t>
      </w:r>
    </w:p>
    <w:p>
      <w:r>
        <w:t>⚠ El fine-tuning se recomienda cuando se disponga de al menos 200-500 registros reales etiquetados de la planta objetivo.</w:t>
      </w:r>
    </w:p>
    <w:p/>
    <w:p>
      <w:pPr>
        <w:pStyle w:val="Heading2"/>
      </w:pPr>
      <w:r>
        <w:t>6. Limitaciones, Riesgos y Consideraciones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2E5694"/>
          </w:tcPr>
          <w:p>
            <w:r>
              <w:rPr>
                <w:b/>
                <w:color w:val="FFFFFF"/>
                <w:sz w:val="20"/>
              </w:rPr>
              <w:t>Limitación / Riesgo</w:t>
            </w:r>
          </w:p>
        </w:tc>
        <w:tc>
          <w:tcPr>
            <w:tcW w:type="dxa" w:w="2880"/>
            <w:shd w:val="clear" w:color="auto" w:fill="2E5694"/>
          </w:tcPr>
          <w:p>
            <w:r>
              <w:rPr>
                <w:b/>
                <w:color w:val="FFFFFF"/>
                <w:sz w:val="20"/>
              </w:rPr>
              <w:t>Descripción</w:t>
            </w:r>
          </w:p>
        </w:tc>
        <w:tc>
          <w:tcPr>
            <w:tcW w:type="dxa" w:w="2880"/>
            <w:shd w:val="clear" w:color="auto" w:fill="2E5694"/>
          </w:tcPr>
          <w:p>
            <w:r>
              <w:rPr>
                <w:b/>
                <w:color w:val="FFFFFF"/>
                <w:sz w:val="20"/>
              </w:rPr>
              <w:t>Mitigación</w:t>
            </w:r>
          </w:p>
        </w:tc>
      </w:tr>
      <w:tr>
        <w:tc>
          <w:tcPr>
            <w:tcW w:type="dxa" w:w="2880"/>
          </w:tcPr>
          <w:p>
            <w:r>
              <w:rPr>
                <w:b/>
                <w:sz w:val="20"/>
              </w:rPr>
              <w:t>Datos sintéticos</w:t>
            </w:r>
          </w:p>
        </w:tc>
        <w:tc>
          <w:tcPr>
            <w:tcW w:type="dxa" w:w="2880"/>
          </w:tcPr>
          <w:p>
            <w:r>
              <w:rPr>
                <w:sz w:val="20"/>
              </w:rPr>
              <w:t>El modelo fue entrenado con datos generados por simulación física, no con mediciones reales de planta.</w:t>
            </w:r>
          </w:p>
        </w:tc>
        <w:tc>
          <w:tcPr>
            <w:tcW w:type="dxa" w:w="2880"/>
          </w:tcPr>
          <w:p>
            <w:r>
              <w:rPr>
                <w:sz w:val="20"/>
              </w:rPr>
              <w:t>Validar resultados en campo antes de despliegue. Usar fine-tuning con datos reales.</w:t>
            </w:r>
          </w:p>
        </w:tc>
      </w:tr>
      <w:tr>
        <w:tc>
          <w:tcPr>
            <w:tcW w:type="dxa" w:w="2880"/>
          </w:tcPr>
          <w:p>
            <w:r>
              <w:rPr>
                <w:b/>
                <w:sz w:val="20"/>
              </w:rPr>
              <w:t>Rango de operación</w:t>
            </w:r>
          </w:p>
        </w:tc>
        <w:tc>
          <w:tcPr>
            <w:tcW w:type="dxa" w:w="2880"/>
          </w:tcPr>
          <w:p>
            <w:r>
              <w:rPr>
                <w:sz w:val="20"/>
              </w:rPr>
              <w:t>Predicciones fuera de los rangos de entrenamiento (temp_entrada 3-7 °C, temp_ambiente 12-32 °C, etc.) son extrapolaciones no validadas.</w:t>
            </w:r>
          </w:p>
        </w:tc>
        <w:tc>
          <w:tcPr>
            <w:tcW w:type="dxa" w:w="2880"/>
          </w:tcPr>
          <w:p>
            <w:r>
              <w:rPr>
                <w:sz w:val="20"/>
              </w:rPr>
              <w:t>El operario debe verificar que los valores de entrada están dentro del dominio conocido.</w:t>
            </w:r>
          </w:p>
        </w:tc>
      </w:tr>
      <w:tr>
        <w:tc>
          <w:tcPr>
            <w:tcW w:type="dxa" w:w="2880"/>
          </w:tcPr>
          <w:p>
            <w:r>
              <w:rPr>
                <w:b/>
                <w:sz w:val="20"/>
              </w:rPr>
              <w:t>Presión diferencial</w:t>
            </w:r>
          </w:p>
        </w:tc>
        <w:tc>
          <w:tcPr>
            <w:tcW w:type="dxa" w:w="2880"/>
          </w:tcPr>
          <w:p>
            <w:r>
              <w:rPr>
                <w:sz w:val="20"/>
              </w:rPr>
              <w:t>Variable proxy de fouling con comportamiento no lineal fuera del dominio de entrenamiento.</w:t>
            </w:r>
          </w:p>
        </w:tc>
        <w:tc>
          <w:tcPr>
            <w:tcW w:type="dxa" w:w="2880"/>
          </w:tcPr>
          <w:p>
            <w:r>
              <w:rPr>
                <w:sz w:val="20"/>
              </w:rPr>
              <w:t>Monitorizar valores anómalos y evitar predicciones cuando presion_diferencial_bar &gt; 2.4 bar.</w:t>
            </w:r>
          </w:p>
        </w:tc>
      </w:tr>
      <w:tr>
        <w:tc>
          <w:tcPr>
            <w:tcW w:type="dxa" w:w="2880"/>
          </w:tcPr>
          <w:p>
            <w:r>
              <w:rPr>
                <w:b/>
                <w:sz w:val="20"/>
              </w:rPr>
              <w:t>Determinismo del GA</w:t>
            </w:r>
          </w:p>
        </w:tc>
        <w:tc>
          <w:tcPr>
            <w:tcW w:type="dxa" w:w="2880"/>
          </w:tcPr>
          <w:p>
            <w:r>
              <w:rPr>
                <w:sz w:val="20"/>
              </w:rPr>
              <w:t>El GA usa random_seed=42 (pygad). Los resultados son deterministas para la misma versión de pygad; pueden diferir entre versiones de la librería.</w:t>
            </w:r>
          </w:p>
        </w:tc>
        <w:tc>
          <w:tcPr>
            <w:tcW w:type="dxa" w:w="2880"/>
          </w:tcPr>
          <w:p>
            <w:r>
              <w:rPr>
                <w:sz w:val="20"/>
              </w:rPr>
              <w:t>Mantener versión fija de pygad (3.5.0) en producción.</w:t>
            </w:r>
          </w:p>
        </w:tc>
      </w:tr>
      <w:tr>
        <w:tc>
          <w:tcPr>
            <w:tcW w:type="dxa" w:w="2880"/>
          </w:tcPr>
          <w:p>
            <w:r>
              <w:rPr>
                <w:b/>
                <w:sz w:val="20"/>
              </w:rPr>
              <w:t>Seguridad alimentaria</w:t>
            </w:r>
          </w:p>
        </w:tc>
        <w:tc>
          <w:tcPr>
            <w:tcW w:type="dxa" w:w="2880"/>
          </w:tcPr>
          <w:p>
            <w:r>
              <w:rPr>
                <w:sz w:val="20"/>
              </w:rPr>
              <w:t>El KPI PU ≥ 13 es un umbral computado, no un sustituto de la supervisión regulatoria oficial.</w:t>
            </w:r>
          </w:p>
        </w:tc>
        <w:tc>
          <w:tcPr>
            <w:tcW w:type="dxa" w:w="2880"/>
          </w:tcPr>
          <w:p>
            <w:r>
              <w:rPr>
                <w:sz w:val="20"/>
              </w:rPr>
              <w:t>Siempre combinar con los controles de calidad y certificaciones obligatorias de la planta.</w:t>
            </w:r>
          </w:p>
        </w:tc>
      </w:tr>
    </w:tbl>
    <w:p/>
    <w:p>
      <w:pPr>
        <w:pStyle w:val="Heading2"/>
      </w:pPr>
      <w:r>
        <w:t>7. Estado de Validación</w:t>
      </w:r>
    </w:p>
    <w:p>
      <w:r>
        <w:t>Verificación técnica completada (2026-07-03). Resultado del golden dataset: 15/15 casos dentro de tolerancia 2% (diferencia máxima 0.01 L, &lt;0.001%). Plugin listo para revisión humana y PR a develop.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