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Plantilla de Metadatos — Modelo A09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Identificador del modelo</w:t>
            </w:r>
          </w:p>
        </w:tc>
        <w:tc>
          <w:tcPr>
            <w:tcW w:type="dxa" w:w="4320"/>
          </w:tcPr>
          <w:p>
            <w:r>
              <w:t>ml9-cereals-infestation-sequence-classifier</w:t>
            </w:r>
          </w:p>
        </w:tc>
      </w:tr>
      <w:tr>
        <w:tc>
          <w:tcPr>
            <w:tcW w:type="dxa" w:w="4320"/>
          </w:tcPr>
          <w:p>
            <w:r>
              <w:t>Nombre completo</w:t>
            </w:r>
          </w:p>
        </w:tc>
        <w:tc>
          <w:tcPr>
            <w:tcW w:type="dxa" w:w="4320"/>
          </w:tcPr>
          <w:p>
            <w:r>
              <w:t>Desarrollo de un modelo de Ensemble learning para la clasificación de objetos anómalos o infestaciones</w:t>
            </w:r>
          </w:p>
        </w:tc>
      </w:tr>
      <w:tr>
        <w:tc>
          <w:tcPr>
            <w:tcW w:type="dxa" w:w="4320"/>
          </w:tcPr>
          <w:p>
            <w:r>
              <w:t>Acrónimo</w:t>
            </w:r>
          </w:p>
        </w:tc>
        <w:tc>
          <w:tcPr>
            <w:tcW w:type="dxa" w:w="4320"/>
          </w:tcPr>
          <w:p>
            <w:r>
              <w:t>INF-CER</w:t>
            </w:r>
          </w:p>
        </w:tc>
      </w:tr>
      <w:tr>
        <w:tc>
          <w:tcPr>
            <w:tcW w:type="dxa" w:w="4320"/>
          </w:tcPr>
          <w:p>
            <w:r>
              <w:t>Sector</w:t>
            </w:r>
          </w:p>
        </w:tc>
        <w:tc>
          <w:tcPr>
            <w:tcW w:type="dxa" w:w="4320"/>
          </w:tcPr>
          <w:p>
            <w:r>
              <w:t>Cerealístico</w:t>
            </w:r>
          </w:p>
        </w:tc>
      </w:tr>
      <w:tr>
        <w:tc>
          <w:tcPr>
            <w:tcW w:type="dxa" w:w="4320"/>
          </w:tcPr>
          <w:p>
            <w:r>
              <w:t>Versión del modelo</w:t>
            </w:r>
          </w:p>
        </w:tc>
        <w:tc>
          <w:tcPr>
            <w:tcW w:type="dxa" w:w="4320"/>
          </w:tcPr>
          <w:p>
            <w:r>
              <w:t>1.0.0</w:t>
            </w:r>
          </w:p>
        </w:tc>
      </w:tr>
      <w:tr>
        <w:tc>
          <w:tcPr>
            <w:tcW w:type="dxa" w:w="4320"/>
          </w:tcPr>
          <w:p>
            <w:r>
              <w:t>Versión de la memoria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Fecha de versión de la memoria</w:t>
            </w:r>
          </w:p>
        </w:tc>
        <w:tc>
          <w:tcPr>
            <w:tcW w:type="dxa" w:w="4320"/>
          </w:tcPr>
          <w:p>
            <w:r>
              <w:t>13/07/2026</w:t>
            </w:r>
          </w:p>
        </w:tc>
      </w:tr>
      <w:tr>
        <w:tc>
          <w:tcPr>
            <w:tcW w:type="dxa" w:w="4320"/>
          </w:tcPr>
          <w:p>
            <w:r>
              <w:t>Tipo de modelo</w:t>
            </w:r>
          </w:p>
        </w:tc>
        <w:tc>
          <w:tcPr>
            <w:tcW w:type="dxa" w:w="4320"/>
          </w:tcPr>
          <w:p>
            <w:r>
              <w:t>Serie temporal — clasificador secuencial recurrente GRU (1 capa, 96 unidades, unidireccional, dropout 0,1) sobre ventanas deslizantes de 48 pasos horarios (stride 12, etiqueta del último paso), con 3 clases de salida. Nota: el título del entregable menciona "Ensemble learning", pero la solución implementada y validada entrena LSTM y GRU por separado y sirve únicamente la ganadora por f1_macro de validación (GRU); no hay combinación de modelos</w:t>
            </w:r>
          </w:p>
        </w:tc>
      </w:tr>
      <w:tr>
        <w:tc>
          <w:tcPr>
            <w:tcW w:type="dxa" w:w="4320"/>
          </w:tcPr>
          <w:p>
            <w:r>
              <w:t>Variable objetivo principal</w:t>
            </w:r>
          </w:p>
        </w:tc>
        <w:tc>
          <w:tcPr>
            <w:tcW w:type="dxa" w:w="4320"/>
          </w:tcPr>
          <w:p>
            <w:r>
              <w:t>target — estado de la ventana temporal: 0 sano, 1 insectos, 2 moho crítico</w:t>
            </w:r>
          </w:p>
        </w:tc>
      </w:tr>
      <w:tr>
        <w:tc>
          <w:tcPr>
            <w:tcW w:type="dxa" w:w="4320"/>
          </w:tcPr>
          <w:p>
            <w:r>
              <w:t>Variables de entrada</w:t>
            </w:r>
          </w:p>
        </w:tc>
        <w:tc>
          <w:tcPr>
            <w:tcW w:type="dxa" w:w="4320"/>
          </w:tcPr>
          <w:p>
            <w:r>
              <w:t>sample_id, timestamp y cuatro señales horarias: co2_ppm, temp_c, ambient_rh_pct, humidity_grain_pct (65 variables derivadas construidas internamente por el pipeline)</w:t>
            </w:r>
          </w:p>
        </w:tc>
      </w:tr>
      <w:tr>
        <w:tc>
          <w:tcPr>
            <w:tcW w:type="dxa" w:w="4320"/>
          </w:tcPr>
          <w:p>
            <w:r>
              <w:t>Framework principal</w:t>
            </w:r>
          </w:p>
        </w:tc>
        <w:tc>
          <w:tcPr>
            <w:tcW w:type="dxa" w:w="4320"/>
          </w:tcPr>
          <w:p>
            <w:r>
              <w:t>PyTorch (&gt;=2.2) + pandas / numpy / scikit-learn / PyYAML</w:t>
            </w:r>
          </w:p>
        </w:tc>
      </w:tr>
      <w:tr>
        <w:tc>
          <w:tcPr>
            <w:tcW w:type="dxa" w:w="4320"/>
          </w:tcPr>
          <w:p>
            <w:r>
              <w:t>Organismo desarrollador</w:t>
            </w:r>
          </w:p>
        </w:tc>
        <w:tc>
          <w:tcPr>
            <w:tcW w:type="dxa" w:w="4320"/>
          </w:tcPr>
          <w:p>
            <w:r>
              <w:t>AIR Institute (para DATAGIA)</w:t>
            </w:r>
          </w:p>
        </w:tc>
      </w:tr>
      <w:tr>
        <w:tc>
          <w:tcPr>
            <w:tcW w:type="dxa" w:w="4320"/>
          </w:tcPr>
          <w:p>
            <w:r>
              <w:t>Dataset de entrenamiento</w:t>
            </w:r>
          </w:p>
        </w:tc>
        <w:tc>
          <w:tcPr>
            <w:tcW w:type="dxa" w:w="4320"/>
          </w:tcPr>
          <w:p>
            <w:r>
              <w:t>dataset_infestacion_cereales_sintetico (synth_v_9858f137e755) — 100 % sintético, generación interna: 300 series (100 por clase), 480 observaciones horarias por serie, 144.000 registros; partición por sample_id sin fuga en 195/45/60 series</w:t>
            </w:r>
          </w:p>
        </w:tc>
      </w:tr>
      <w:tr>
        <w:tc>
          <w:tcPr>
            <w:tcW w:type="dxa" w:w="4320"/>
          </w:tcPr>
          <w:p>
            <w:r>
              <w:t>Métricas del modelo servido</w:t>
            </w:r>
          </w:p>
        </w:tc>
        <w:tc>
          <w:tcPr>
            <w:tcW w:type="dxa" w:w="4320"/>
          </w:tcPr>
          <w:p>
            <w:r>
              <w:t>Hold-out de 2.220 ventanas: f1_macro 0,9436 · accuracy 0,9414 · balanced_accuracy 0,9452 · precision_macro 0,9422 · recall_macro 0,9452 · log_loss 0,1830 · recall de moho crítico 0,9885. Reproducidas exactamente por el plugin integrado (2.220/2.220 ventanas, 0 discrepancias de clase)</w:t>
            </w:r>
          </w:p>
        </w:tc>
      </w:tr>
      <w:tr>
        <w:tc>
          <w:tcPr>
            <w:tcW w:type="dxa" w:w="4320"/>
          </w:tcPr>
          <w:p>
            <w:r>
              <w:t>Estado de validación</w:t>
            </w:r>
          </w:p>
        </w:tc>
        <w:tc>
          <w:tcPr>
            <w:tcW w:type="dxa" w:w="4320"/>
          </w:tcPr>
          <w:p>
            <w:r>
              <w:t>Verificado técnica y numéricamente sobre datos sintéticos (outputs/a09/verification_report.md). Pendiente de validación con datos reales de operación antes de usar sus cifras como compromiso de negocio</w:t>
            </w:r>
          </w:p>
        </w:tc>
      </w:tr>
    </w:tbl>
    <w:p>
      <w:pPr>
        <w:pStyle w:val="Heading2"/>
      </w:pPr>
      <w:r>
        <w:t>Artefactos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Fichero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final_winner.pt</w:t>
            </w:r>
          </w:p>
        </w:tc>
        <w:tc>
          <w:tcPr>
            <w:tcW w:type="dxa" w:w="2880"/>
          </w:tcPr>
          <w:p>
            <w:r>
              <w:t>Checkpoint PyTorch</w:t>
            </w:r>
          </w:p>
        </w:tc>
        <w:tc>
          <w:tcPr>
            <w:tcW w:type="dxa" w:w="2880"/>
          </w:tcPr>
          <w:p>
            <w:r>
              <w:t>Pesos del GRU ganador servido en inferencia (input_size=65, hidden_size=96, num_layers=1, dropout=0,1, bidirectional=false, num_classes=3). Copia de gru_best.pt</w:t>
            </w:r>
          </w:p>
        </w:tc>
      </w:tr>
      <w:tr>
        <w:tc>
          <w:tcPr>
            <w:tcW w:type="dxa" w:w="2880"/>
          </w:tcPr>
          <w:p>
            <w:r>
              <w:t>sequence_scaler.pkl</w:t>
            </w:r>
          </w:p>
        </w:tc>
        <w:tc>
          <w:tcPr>
            <w:tcW w:type="dxa" w:w="2880"/>
          </w:tcPr>
          <w:p>
            <w:r>
              <w:t>Pickle scikit-learn</w:t>
            </w:r>
          </w:p>
        </w:tc>
        <w:tc>
          <w:tcPr>
            <w:tcW w:type="dxa" w:w="2880"/>
          </w:tcPr>
          <w:p>
            <w:r>
              <w:t>StandardScaler ajustado únicamente con las ventanas de entrenamiento y aplicado de forma plana sobre (n_ventanas × 48, 65). Serializado con scikit-learn 1.8.0</w:t>
            </w:r>
          </w:p>
        </w:tc>
      </w:tr>
      <w:tr>
        <w:tc>
          <w:tcPr>
            <w:tcW w:type="dxa" w:w="2880"/>
          </w:tcPr>
          <w:p>
            <w:r>
              <w:t>model_bundle_metadata.json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Contrato del modelo: orden exacto de las 65 features, window_size/stride/label_mode, sample_id de cada partición, modelo ganador e instantánea de la configuración de entrenamiento</w:t>
            </w:r>
          </w:p>
        </w:tc>
      </w:tr>
      <w:tr>
        <w:tc>
          <w:tcPr>
            <w:tcW w:type="dxa" w:w="2880"/>
          </w:tcPr>
          <w:p>
            <w:r>
              <w:t>gru_best.pt</w:t>
            </w:r>
          </w:p>
        </w:tc>
        <w:tc>
          <w:tcPr>
            <w:tcW w:type="dxa" w:w="2880"/>
          </w:tcPr>
          <w:p>
            <w:r>
              <w:t>Checkpoint PyTorch</w:t>
            </w:r>
          </w:p>
        </w:tc>
        <w:tc>
          <w:tcPr>
            <w:tcW w:type="dxa" w:w="2880"/>
          </w:tcPr>
          <w:p>
            <w:r>
              <w:t>Mejor GRU de la búsqueda de hiperparámetros (hidden_size=96, dropout=0,1, weight_decay=0,0). Trazabilidad; no se sirve</w:t>
            </w:r>
          </w:p>
        </w:tc>
      </w:tr>
      <w:tr>
        <w:tc>
          <w:tcPr>
            <w:tcW w:type="dxa" w:w="2880"/>
          </w:tcPr>
          <w:p>
            <w:r>
              <w:t>lstm_best.pt</w:t>
            </w:r>
          </w:p>
        </w:tc>
        <w:tc>
          <w:tcPr>
            <w:tcW w:type="dxa" w:w="2880"/>
          </w:tcPr>
          <w:p>
            <w:r>
              <w:t>Checkpoint PyTorch</w:t>
            </w:r>
          </w:p>
        </w:tc>
        <w:tc>
          <w:tcPr>
            <w:tcW w:type="dxa" w:w="2880"/>
          </w:tcPr>
          <w:p>
            <w:r>
              <w:t>Mejor LSTM de la búsqueda (hidden_size=64, dropout=0,1, weight_decay=1e-4). Alternativa no seleccionada; se conserva para comparación y reevaluación</w:t>
            </w:r>
          </w:p>
        </w:tc>
      </w:tr>
    </w:tbl>
    <w:p>
      <w:pPr>
        <w:pStyle w:val="Heading2"/>
      </w:pPr>
      <w:r>
        <w:t>Librerías principales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Librería</w:t>
            </w:r>
          </w:p>
        </w:tc>
        <w:tc>
          <w:tcPr>
            <w:tcW w:type="dxa" w:w="4320"/>
          </w:tcPr>
          <w:p>
            <w:r>
              <w:t>Versión mínima</w:t>
            </w:r>
          </w:p>
        </w:tc>
      </w:tr>
      <w:tr>
        <w:tc>
          <w:tcPr>
            <w:tcW w:type="dxa" w:w="4320"/>
          </w:tcPr>
          <w:p>
            <w:r>
              <w:t>torch</w:t>
            </w:r>
          </w:p>
        </w:tc>
        <w:tc>
          <w:tcPr>
            <w:tcW w:type="dxa" w:w="4320"/>
          </w:tcPr>
          <w:p>
            <w:r>
              <w:t>&gt;=2.2 (sin fijar exacta — ver known_issues del manifest)</w:t>
            </w:r>
          </w:p>
        </w:tc>
      </w:tr>
      <w:tr>
        <w:tc>
          <w:tcPr>
            <w:tcW w:type="dxa" w:w="4320"/>
          </w:tcPr>
          <w:p>
            <w:r>
              <w:t>pandas</w:t>
            </w:r>
          </w:p>
        </w:tc>
        <w:tc>
          <w:tcPr>
            <w:tcW w:type="dxa" w:w="4320"/>
          </w:tcPr>
          <w:p>
            <w:r>
              <w:t>&gt;=2.2</w:t>
            </w:r>
          </w:p>
        </w:tc>
      </w:tr>
      <w:tr>
        <w:tc>
          <w:tcPr>
            <w:tcW w:type="dxa" w:w="4320"/>
          </w:tcPr>
          <w:p>
            <w:r>
              <w:t>numpy</w:t>
            </w:r>
          </w:p>
        </w:tc>
        <w:tc>
          <w:tcPr>
            <w:tcW w:type="dxa" w:w="4320"/>
          </w:tcPr>
          <w:p>
            <w:r>
              <w:t>&gt;=1.26</w:t>
            </w:r>
          </w:p>
        </w:tc>
      </w:tr>
      <w:tr>
        <w:tc>
          <w:tcPr>
            <w:tcW w:type="dxa" w:w="4320"/>
          </w:tcPr>
          <w:p>
            <w:r>
              <w:t>scikit-learn</w:t>
            </w:r>
          </w:p>
        </w:tc>
        <w:tc>
          <w:tcPr>
            <w:tcW w:type="dxa" w:w="4320"/>
          </w:tcPr>
          <w:p>
            <w:r>
              <w:t>&gt;=1.5 (el escalador entregado se serializó con 1.8.0)</w:t>
            </w:r>
          </w:p>
        </w:tc>
      </w:tr>
      <w:tr>
        <w:tc>
          <w:tcPr>
            <w:tcW w:type="dxa" w:w="4320"/>
          </w:tcPr>
          <w:p>
            <w:r>
              <w:t>matplotlib</w:t>
            </w:r>
          </w:p>
        </w:tc>
        <w:tc>
          <w:tcPr>
            <w:tcW w:type="dxa" w:w="4320"/>
          </w:tcPr>
          <w:p>
            <w:r>
              <w:t>&gt;=3.8 (solo figuras de evaluación)</w:t>
            </w:r>
          </w:p>
        </w:tc>
      </w:tr>
      <w:tr>
        <w:tc>
          <w:tcPr>
            <w:tcW w:type="dxa" w:w="4320"/>
          </w:tcPr>
          <w:p>
            <w:r>
              <w:t>PyYAML</w:t>
            </w:r>
          </w:p>
        </w:tc>
        <w:tc>
          <w:tcPr>
            <w:tcW w:type="dxa" w:w="4320"/>
          </w:tcPr>
          <w:p>
            <w:r>
              <w:t>&gt;=6.0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