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44"/>
          <w:szCs w:val="44"/>
          <w:u w:val="none"/>
          <w:shd w:fill="auto" w:val="clear"/>
          <w:vertAlign w:val="baseline"/>
        </w:rPr>
      </w:pPr>
      <w:r>
        <w:rPr>
          <w:rFonts w:ascii="Arial" w:cs="Arial" w:eastAsia="Arial" w:hAnsi="Arial"/>
          <w:b w:val="1"/>
          <w:bCs w:val="1"/>
          <w:i w:val="0"/>
          <w:iCs w:val="0"/>
          <w:smallCaps w:val="0"/>
          <w:strike w:val="0"/>
          <w:color w:val="000000"/>
          <w:sz w:val="44"/>
          <w:szCs w:val="44"/>
          <w:u w:val="none"/>
          <w:shd w:fill="auto" w:val="clear"/>
          <w:vertAlign w:val="baseline"/>
          <w:rtl w:val="0"/>
        </w:rPr>
        <w:t xml:space="preserve">Ficha de metadatos del modelo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Plantilla para el endpoint /stats  ·  </w:t>
      </w:r>
    </w:p>
    <w:p w:rsidR="00000000" w:rsidDel="00000000" w:rsidP="00000000" w:rsidRDefault="00000000" w:rsidRPr="00000000" w14:paraId="00000003">
      <w:pPr>
        <w:spacing w:after="120" w:lineRule="auto"/>
        <w:rPr>
          <w:b w:val="1"/>
          <w:bCs w:val="1"/>
          <w:color w:val="333333"/>
          <w:sz w:val="24"/>
          <w:szCs w:val="24"/>
        </w:rPr>
      </w:pPr>
      <w:r>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Pr>
          <w:rFonts w:ascii="Arial" w:cs="Arial" w:eastAsia="Arial" w:hAnsi="Arial"/>
          <w:b w:val="1"/>
          <w:bCs w:val="1"/>
          <w:i w:val="0"/>
          <w:iCs w:val="0"/>
          <w:smallCaps w:val="0"/>
          <w:strike w:val="0"/>
          <w:color w:val="000000"/>
          <w:sz w:val="28"/>
          <w:szCs w:val="28"/>
          <w:u w:val="none"/>
          <w:shd w:fill="auto" w:val="clear"/>
          <w:vertAlign w:val="baseline"/>
          <w:rtl w:val="0"/>
        </w:rPr>
        <w:t xml:space="preserve">Instrucciones</w:t>
      </w:r>
    </w:p>
    <w:p w:rsidR="00000000" w:rsidDel="00000000" w:rsidP="00000000" w:rsidRDefault="00000000" w:rsidRPr="00000000" w14:paraId="00000005">
      <w:pPr>
        <w:rPr/>
      </w:pPr>
      <w:r>
        <w:rPr>
          <w:rtl w:val="0"/>
        </w:rPr>
        <w:t xml:space="preserve">Rellena este documento por cada modelo entregado. La información que proporciones se usará para construir el </w:t>
      </w:r>
      <w:r>
        <w:rPr>
          <w:b w:val="1"/>
          <w:bCs w:val="1"/>
          <w:rtl w:val="0"/>
        </w:rPr>
        <w:t xml:space="preserve">endpoint GET /stats </w:t>
      </w:r>
      <w:r>
        <w:rPr>
          <w:rtl w:val="0"/>
        </w:rPr>
        <w:t xml:space="preserve">de la API, que es el que consume la plataforma Datagia para mostrar el listado de modelos disponibles.</w:t>
      </w:r>
    </w:p>
    <w:p w:rsidR="00000000" w:rsidDel="00000000" w:rsidP="00000000" w:rsidRDefault="00000000" w:rsidRPr="00000000" w14:paraId="00000006">
      <w:pPr>
        <w:pStyle w:val="Heading2"/>
        <w:spacing w:after="120" w:before="320" w:lineRule="auto"/>
        <w:rPr/>
      </w:pPr>
      <w:r>
        <w:rPr>
          <w:rtl w:val="0"/>
        </w:rPr>
        <w:t xml:space="preserve">1. Información general</w:t>
      </w:r>
    </w:p>
    <w:p w:rsidR="00000000" w:rsidDel="00000000" w:rsidP="00000000" w:rsidRDefault="00000000" w:rsidRPr="00000000" w14:paraId="00000007">
      <w:pPr>
        <w:rPr/>
      </w:pPr>
      <w:r>
        <w:rPr>
          <w:rtl w:val="0"/>
        </w:rPr>
        <w:t xml:space="preserve">Rellena todos los campos. La descripción es la que aparecerá visible en Datagia.</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08">
            <w:pPr>
              <w:rPr/>
            </w:pPr>
            <w:r>
              <w:rPr>
                <w:b w:val="1"/>
                <w:bCs w:val="1"/>
                <w:color w:val="333333"/>
                <w:sz w:val="20"/>
                <w:szCs w:val="20"/>
                <w:rtl w:val="0"/>
              </w:rPr>
              <w:t xml:space="preserve">Nombre del modelo (model_key)</w:t>
            </w:r>
            <w:r>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Pr>
                <w:rtl w:val="0"/>
              </w:rPr>
              <w:t>ml34-lacteo-pasteur-energy-optimizer</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0A">
            <w:pPr>
              <w:rPr/>
            </w:pPr>
            <w:r>
              <w:rPr>
                <w:b w:val="1"/>
                <w:bCs w:val="1"/>
                <w:color w:val="333333"/>
                <w:sz w:val="20"/>
                <w:szCs w:val="20"/>
                <w:rtl w:val="0"/>
              </w:rPr>
              <w:t xml:space="preserve">Versión</w:t>
            </w:r>
            <w:r>
              <w:rPr>
                <w:rtl w:val="0"/>
              </w:rPr>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sidR="00000000" w:rsidDel="00000000" w:rsidP="00000000" w:rsidRDefault="00000000" w:rsidRPr="00000000" w14:paraId="0000000B">
            <w:pPr>
              <w:rPr/>
            </w:pPr>
            <w:r>
              <w:rPr>
                <w:rtl w:val="0"/>
              </w:rPr>
              <w:t>2.0</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0C">
            <w:pPr>
              <w:rPr/>
            </w:pPr>
            <w:r>
              <w:rPr>
                <w:b w:val="1"/>
                <w:bCs w:val="1"/>
                <w:color w:val="333333"/>
                <w:sz w:val="20"/>
                <w:szCs w:val="20"/>
                <w:rtl w:val="0"/>
              </w:rPr>
              <w:t xml:space="preserve">Descripción</w:t>
            </w:r>
            <w:r>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Pr>
                <w:rtl w:val="0"/>
              </w:rPr>
              <w:t xml:space="preserve">Sistema de inteligencia artificial que analiza el estado actual de la línea de pasteurización (temperatura de entrada de la leche, caudal, tiempo desde la última limpieza y caída de presión) y recomienda al operario los dos parámetros que puede ajustar: a qué caudal trabajar y a qué temperatura poner el agua de servicio. El objetivo es pasteurizar el mismo volumen de leche consumiendo menos energía por litro procesado, garantizando siempre que la leche supera los 72 °C de seguridad alimentaria. El sistema no actúa sobre la planta de forma autónoma: entrega una recomendación que el operario revisa antes de aplicarla.</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0E">
            <w:pPr>
              <w:rPr/>
            </w:pPr>
            <w:r>
              <w:rPr>
                <w:b w:val="1"/>
                <w:bCs w:val="1"/>
                <w:color w:val="333333"/>
                <w:sz w:val="20"/>
                <w:szCs w:val="20"/>
                <w:rtl w:val="0"/>
              </w:rPr>
              <w:t xml:space="preserve">Tipo de tarea (task_type)</w:t>
            </w:r>
            <w:r>
              <w:rPr>
                <w:rtl w:val="0"/>
              </w:rPr>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sidR="00000000" w:rsidDel="00000000" w:rsidP="00000000" w:rsidRDefault="00000000" w:rsidRPr="00000000" w14:paraId="0000000F">
            <w:pPr>
              <w:rPr/>
            </w:pPr>
            <w:r>
              <w:rPr>
                <w:rtl w:val="0"/>
              </w:rPr>
              <w:t xml:space="preserve">regression + optimización (pipeline híbrido: MLP surrogate + algoritmo genético uni-objetivo)</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10">
            <w:pPr>
              <w:rPr/>
            </w:pPr>
            <w:r>
              <w:rPr>
                <w:b w:val="1"/>
                <w:bCs w:val="1"/>
                <w:color w:val="333333"/>
                <w:sz w:val="20"/>
                <w:szCs w:val="20"/>
                <w:rtl w:val="0"/>
              </w:rPr>
              <w:t xml:space="preserve">Framework</w:t>
            </w:r>
            <w:r>
              <w:rPr>
                <w:rtl w:val="0"/>
              </w:rPr>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Pr>
                <w:rtl w:val="0"/>
              </w:rPr>
              <w:t xml:space="preserve">PyTorch (MLP — 3 capas ocultas, 64 neuronas, ReLU) + DEAP (algoritmo genético NSGA-II simplificado, uni-objetivo)</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12">
            <w:pPr>
              <w:rPr/>
            </w:pPr>
            <w:r>
              <w:rPr>
                <w:b w:val="1"/>
                <w:bCs w:val="1"/>
                <w:color w:val="333333"/>
                <w:sz w:val="20"/>
                <w:szCs w:val="20"/>
                <w:rtl w:val="0"/>
              </w:rPr>
              <w:t xml:space="preserve">Fichero del artefacto</w:t>
            </w:r>
            <w:r>
              <w:rPr>
                <w:rtl w:val="0"/>
              </w:rPr>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sidR="00000000" w:rsidDel="00000000" w:rsidP="00000000" w:rsidRDefault="00000000" w:rsidRPr="00000000" w14:paraId="00000013">
            <w:pPr>
              <w:rPr/>
            </w:pPr>
            <w:r>
              <w:rPr>
                <w:rtl w:val="0"/>
              </w:rPr>
              <w:t xml:space="preserve">models/artifacts/mlp_predictor.pt + models/artifacts/scaler_X.pkl + models/artifacts/scaler_y.pkl + models/artifacts/model_config.json</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333333"/>
                <w:sz w:val="20"/>
                <w:szCs w:val="20"/>
                <w:rtl w:val="0"/>
              </w:rPr>
              <w:t xml:space="preserve">Objetivo del modelo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Reducir el consumo específico de energía (kW por litro de leche pasteurizada) en plantas de pasteurización HTST, compensando la pérdida progresiva de eficiencia del intercambiador de calor debida al ensuciamiento (fouling proteico). Los enfoques tradicionales aplican consignas conservadoras fijas que garantizan seguridad pero generan sobreconsumo energético. Este modelo calcula en cada momento la combinación óptima de caudal y temperatura de servicio que minimiza el gasto energético por litro sin comprometer en ningún caso el cumplimiento normativo térmico.</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333333"/>
                <w:sz w:val="20"/>
                <w:szCs w:val="20"/>
                <w:rtl w:val="0"/>
              </w:rPr>
              <w:t xml:space="preserve">Caso de uso principal</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Durante el turno de producción, el operario de planta introduce el estado actual del proceso (temperatura de entrada, caudal actual, tiempo desde la última limpieza CIP y caída de presión): python scripts/optimize.py --input data/estado_actual.csv. En segundos el sistema devuelve el caudal y la temperatura de servicio recomendados para ese instante, con la predicción de consumo energético esperado y la confirmación de que la temperatura de salida superará los 72,3 °C. El operario aplica los setpoints en el SCADA de la planta.</w:t>
            </w:r>
          </w:p>
        </w:tc>
      </w:tr>
    </w:tbl>
    <w:p w:rsidR="00000000" w:rsidDel="00000000" w:rsidP="00000000" w:rsidRDefault="00000000" w:rsidRPr="00000000" w14:paraId="00000014">
      <w:pPr>
        <w:spacing w:before="280" w:lineRule="auto"/>
        <w:rPr/>
      </w:pPr>
      <w:r>
        <w:rPr>
          <w:rtl w:val="0"/>
        </w:rPr>
      </w:r>
    </w:p>
    <w:p w:rsidR="00000000" w:rsidDel="00000000" w:rsidP="00000000" w:rsidRDefault="00000000" w:rsidRPr="00000000" w14:paraId="00000015">
      <w:pPr>
        <w:pStyle w:val="Heading2"/>
        <w:spacing w:after="120" w:before="320" w:lineRule="auto"/>
        <w:rPr/>
      </w:pPr>
      <w:r>
        <w:rPr>
          <w:rtl w:val="0"/>
        </w:rPr>
        <w:t xml:space="preserve">2. Campos de entrada (inputs)</w:t>
      </w:r>
    </w:p>
    <w:p w:rsidR="00000000" w:rsidDel="00000000" w:rsidP="00000000" w:rsidRDefault="00000000" w:rsidRPr="00000000" w14:paraId="00000016">
      <w:pPr>
        <w:rPr/>
      </w:pPr>
      <w:r>
        <w:rPr>
          <w:rtl w:val="0"/>
        </w:rPr>
        <w:t xml:space="preserve">Lista todos los campos que necesita el modelo para hacer una predicción. Añade filas si necesitas más de cuatro.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7"/>
        <w:gridCol w:w="1384"/>
        <w:gridCol w:w="3055"/>
        <w:gridCol w:w="1307"/>
        <w:gridCol w:w="1447"/>
        <w:tblGridChange w:id="0">
          <w:tblGrid>
            <w:gridCol w:w="2167"/>
            <w:gridCol w:w="1384"/>
            <w:gridCol w:w="3055"/>
            <w:gridCol w:w="1307"/>
            <w:gridCol w:w="1447"/>
          </w:tblGrid>
        </w:tblGridChange>
      </w:tblGrid>
      <w:tr>
        <w:trPr>
          <w:cantSplit w:val="0"/>
          <w:tblHeader w:val="1"/>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17">
            <w:pPr>
              <w:rPr/>
            </w:pPr>
            <w:r>
              <w:rPr>
                <w:b w:val="1"/>
                <w:bCs w:val="1"/>
                <w:color w:val="1f4e8f"/>
                <w:sz w:val="20"/>
                <w:szCs w:val="20"/>
                <w:rtl w:val="0"/>
              </w:rPr>
              <w:t xml:space="preserve">Nombre del campo</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18">
            <w:pPr>
              <w:rPr/>
            </w:pPr>
            <w:r>
              <w:rPr>
                <w:b w:val="1"/>
                <w:bCs w:val="1"/>
                <w:color w:val="1f4e8f"/>
                <w:sz w:val="20"/>
                <w:szCs w:val="20"/>
                <w:rtl w:val="0"/>
              </w:rPr>
              <w:t xml:space="preserve">Tipo</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19">
            <w:pPr>
              <w:rPr/>
            </w:pPr>
            <w:r>
              <w:rPr>
                <w:b w:val="1"/>
                <w:bCs w:val="1"/>
                <w:color w:val="1f4e8f"/>
                <w:sz w:val="20"/>
                <w:szCs w:val="20"/>
                <w:rtl w:val="0"/>
              </w:rPr>
              <w:t xml:space="preserve">Descripción</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1A">
            <w:pPr>
              <w:rPr/>
            </w:pPr>
            <w:r>
              <w:rPr>
                <w:b w:val="1"/>
                <w:bCs w:val="1"/>
                <w:color w:val="1f4e8f"/>
                <w:sz w:val="20"/>
                <w:szCs w:val="20"/>
                <w:rtl w:val="0"/>
              </w:rPr>
              <w:t xml:space="preserve">Obligatorio</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1B">
            <w:pPr>
              <w:rPr/>
            </w:pPr>
            <w:r>
              <w:rPr>
                <w:b w:val="1"/>
                <w:bCs w:val="1"/>
                <w:color w:val="1f4e8f"/>
                <w:sz w:val="20"/>
                <w:szCs w:val="20"/>
                <w:rtl w:val="0"/>
              </w:rPr>
              <w:t xml:space="preserve">Valor por defecto</w:t>
            </w:r>
            <w:r>
              <w:rPr>
                <w:rtl w:val="0"/>
              </w:rPr>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T_in_leche</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float (°C)</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Temperatura de entrada de la leche cruda. Variable estacional (media ~4 °C). Principal perturbación exógena del proceso.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Sí</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F_flow</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float (L/h)</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Caudal volumétrico de leche. Rango simulado: 3.500–5.500 L/h, nominal ~5.000 L/h. Variable controlable en modo optimización; variable de estado en modo predicción.</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Sí</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T_servicio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float (°C)</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Temperatura del agua caliente de servicio (caldera). Rango físico: 76–95 °C. Variable controlable en modo optimización; variable de estado en modo predicción.</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Sí (predicción) / No aplica (optimización)</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t_ciclo</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float (min)</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Tiempo transcurrido desde el último ciclo de limpieza CIP. Indicador del nivel de fouling acumulado en el intercambiador. Rango: 0–800 min.</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Sí</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Delta_P</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float (bar)</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Caída de presión entre entrada y salida del intercambiador. Aumenta progresivamente con el ensuciamiento. Media ~0,60 bar, rango 0,40–1,00 bar.</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Sí</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w:t>
            </w:r>
          </w:p>
        </w:tc>
      </w:tr>
    </w:tbl>
    <w:p w:rsidR="00000000" w:rsidDel="00000000" w:rsidP="00000000" w:rsidRDefault="00000000" w:rsidRPr="00000000" w14:paraId="00000030">
      <w:pPr>
        <w:spacing w:before="280" w:lineRule="auto"/>
        <w:rPr/>
      </w:pPr>
      <w:r>
        <w:rPr>
          <w:rtl w:val="0"/>
        </w:rPr>
      </w:r>
    </w:p>
    <w:p w:rsidR="00000000" w:rsidDel="00000000" w:rsidP="00000000" w:rsidRDefault="00000000" w:rsidRPr="00000000" w14:paraId="00000031">
      <w:pPr>
        <w:spacing w:before="280" w:lineRule="auto"/>
        <w:rPr/>
      </w:pPr>
      <w:r>
        <w:rPr>
          <w:rtl w:val="0"/>
        </w:rPr>
      </w:r>
    </w:p>
    <w:p w:rsidR="00000000" w:rsidDel="00000000" w:rsidP="00000000" w:rsidRDefault="00000000" w:rsidRPr="00000000" w14:paraId="00000032">
      <w:pPr>
        <w:spacing w:before="280" w:lineRule="auto"/>
        <w:rPr/>
      </w:pPr>
      <w:r>
        <w:rPr>
          <w:rtl w:val="0"/>
        </w:rPr>
      </w:r>
    </w:p>
    <w:p w:rsidR="00000000" w:rsidDel="00000000" w:rsidP="00000000" w:rsidRDefault="00000000" w:rsidRPr="00000000" w14:paraId="00000033">
      <w:pPr>
        <w:spacing w:before="280" w:lineRule="auto"/>
        <w:rPr/>
      </w:pPr>
      <w:r>
        <w:rPr>
          <w:rtl w:val="0"/>
        </w:rPr>
      </w:r>
    </w:p>
    <w:p w:rsidR="00000000" w:rsidDel="00000000" w:rsidP="00000000" w:rsidRDefault="00000000" w:rsidRPr="00000000" w14:paraId="00000034">
      <w:pPr>
        <w:pStyle w:val="Heading2"/>
        <w:spacing w:after="120" w:before="320" w:lineRule="auto"/>
        <w:rPr/>
      </w:pPr>
      <w:r>
        <w:rPr>
          <w:rtl w:val="0"/>
        </w:rPr>
        <w:t xml:space="preserve">3. Campos de salida (outputs)</w:t>
      </w:r>
    </w:p>
    <w:p w:rsidR="00000000" w:rsidDel="00000000" w:rsidP="00000000" w:rsidRDefault="00000000" w:rsidRPr="00000000" w14:paraId="00000035">
      <w:pPr>
        <w:rPr/>
      </w:pPr>
      <w:r>
        <w:rPr>
          <w:rtl w:val="0"/>
        </w:rPr>
        <w:t xml:space="preserve">Lista lo que devuelve el modelo. Incluye el nombre exacto del campo en la respuesta JSON.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2400"/>
        <w:gridCol w:w="1760"/>
        <w:gridCol w:w="1800"/>
      </w:tblGrid>
      <w:tr>
        <w:trPr>
          <w:cantSplit w:val="0"/>
          <w:tblHeader w:val="1"/>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36">
            <w:pPr>
              <w:rPr/>
            </w:pPr>
            <w:r>
              <w:rPr>
                <w:b w:val="1"/>
                <w:bCs w:val="1"/>
                <w:color w:val="1f4e8f"/>
                <w:sz w:val="20"/>
                <w:szCs w:val="20"/>
                <w:rtl w:val="0"/>
              </w:rPr>
              <w:t xml:space="preserve">Nombre del campo</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37">
            <w:pPr>
              <w:rPr/>
            </w:pPr>
            <w:r>
              <w:rPr>
                <w:b w:val="1"/>
                <w:bCs w:val="1"/>
                <w:color w:val="1f4e8f"/>
                <w:sz w:val="20"/>
                <w:szCs w:val="20"/>
                <w:rtl w:val="0"/>
              </w:rPr>
              <w:t xml:space="preserve">Tipo</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38">
            <w:pPr>
              <w:rPr/>
            </w:pPr>
            <w:r>
              <w:rPr>
                <w:b w:val="1"/>
                <w:bCs w:val="1"/>
                <w:color w:val="1f4e8f"/>
                <w:sz w:val="20"/>
                <w:szCs w:val="20"/>
                <w:rtl w:val="0"/>
              </w:rPr>
              <w:t xml:space="preserve">Descripción</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Rango de valores posibles</w:t>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Cómo interpretar el resultado</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E_consumo_pred</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float (kW)</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[Modo predicción] Consumo energético total estimado para el estado de proceso dado.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~360–550 kW (rango del dataset)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MAE de 4,26 kW. Permite comparar el coste energético de distintos escenarios de operación antes de aplicarlos.</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T_out_pred</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float (°C)</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[Modo predicción] Temperatura de salida de la leche predicha por el gemelo digital.</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~72,18–73,91 °C (banda muy estrecha por control PID)</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MAE de 0,047 °C. Si T_out_pred &lt; 72,3 °C, la solución se considera no factible y no se recomienda.</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IA_F_flow</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float (L/h)</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[Modo optimización] Caudal recomendado por el algoritmo genético para el escenario actual.</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3.500–5.500 L/h</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Setpoint accionable. Aplicar en la bomba de alimentación del pasteurizador. Media recomendada por el GA: ~5.399 L/h (+9,72% sobre histórico).</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IA_T_servicio</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float (°C)</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[Modo optimización] Temperatura de servicio recomendada por el algoritmo genético.</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76–95 °C</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Setpoint accionable. Aplicar en la consigna de la caldera. Ajustada automáticamente para compensar el fouling acumulado y la temperatura de entrada.</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IA_E_consumo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float (kW)</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[Modo optimización] Consumo energético predicho con los setpoints recomendados.</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~360–550 kW</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Media con setpoints IA: 426,26 kW vs 435,40 kW histórico (−1,48% consumo absoluto).</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IA_T_out</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float (°C)</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[Modo optimización] Temperatura de salida predicha con los setpoints recomendados.</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&gt; 72,3 °C siempre (restricción dura)</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Siempre superior a 72,3 °C. Cumplimiento térmico garantizado en el 100% de los escenarios.</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IA_consumo_especifico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float (kW·h/L)</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[Modo optimización] Consumo específico = E_consumo / F_flow. KPI principal del sistema.</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~0,073–0,095 kW/(L/h)</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Media con IA: 0,07896 vs 0,08845 histórico. Mejora del −10,73%. Es la métrica definitiva de eficiencia energética por litro producido.</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IA_factible</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booleano</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[Modo optimización] Indicador de seguridad alimentaria: True si T_out_pred &gt;= 72,3 °C.</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True / False</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Siempre True en producción. Si aparece False, el sistema no propone esa configuración al operario.</w:t>
            </w:r>
          </w:p>
        </w:tc>
      </w:tr>
    </w:tbl>
    <w:p w:rsidR="00000000" w:rsidDel="00000000" w:rsidP="00000000" w:rsidRDefault="00000000" w:rsidRPr="00000000" w14:paraId="0000003F">
      <w:pPr>
        <w:spacing w:before="280" w:lineRule="auto"/>
        <w:rPr/>
      </w:pPr>
      <w:r>
        <w:rPr>
          <w:rtl w:val="0"/>
        </w:rPr>
      </w:r>
    </w:p>
    <w:p w:rsidR="00000000" w:rsidDel="00000000" w:rsidP="00000000" w:rsidRDefault="00000000" w:rsidRPr="00000000" w14:paraId="00000040">
      <w:pPr>
        <w:pStyle w:val="Heading2"/>
        <w:spacing w:after="120" w:before="320" w:lineRule="auto"/>
        <w:rPr/>
      </w:pPr>
      <w:r>
        <w:rPr>
          <w:rtl w:val="0"/>
        </w:rPr>
        <w:t xml:space="preserve">4. Métricas de evaluación</w:t>
      </w:r>
    </w:p>
    <w:p w:rsidR="00000000" w:rsidDel="00000000" w:rsidP="00000000" w:rsidRDefault="00000000" w:rsidRPr="00000000" w14:paraId="00000041">
      <w:pPr>
        <w:rPr/>
      </w:pPr>
      <w:r>
        <w:rPr>
          <w:rtl w:val="0"/>
        </w:rPr>
        <w:t xml:space="preserve">Usa las métricas reales de tu notebook de evaluación (evaluation.ipynb o models/metrics/). Ejemplos: MAE, MAPE, R², accuracy, mAP50, mAP50-95, F1...</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
      <w:tr>
        <w:trPr>
          <w:cantSplit w:val="0"/>
          <w:tblHeader w:val="1"/>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42">
            <w:pPr>
              <w:rPr/>
            </w:pPr>
            <w:r>
              <w:rPr>
                <w:b w:val="1"/>
                <w:bCs w:val="1"/>
                <w:color w:val="1f4e8f"/>
                <w:sz w:val="20"/>
                <w:szCs w:val="20"/>
                <w:rtl w:val="0"/>
              </w:rPr>
              <w:t xml:space="preserve">Métrica</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43">
            <w:pPr>
              <w:rPr/>
            </w:pPr>
            <w:r>
              <w:rPr>
                <w:b w:val="1"/>
                <w:bCs w:val="1"/>
                <w:color w:val="1f4e8f"/>
                <w:sz w:val="20"/>
                <w:szCs w:val="20"/>
                <w:rtl w:val="0"/>
              </w:rPr>
              <w:t xml:space="preserve">Valor</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sidR="00000000" w:rsidDel="00000000" w:rsidP="00000000" w:rsidRDefault="00000000" w:rsidRPr="00000000" w14:paraId="00000044">
            <w:pPr>
              <w:rPr/>
            </w:pPr>
            <w:r>
              <w:rPr>
                <w:b w:val="1"/>
                <w:bCs w:val="1"/>
                <w:color w:val="1f4e8f"/>
                <w:sz w:val="20"/>
                <w:szCs w:val="20"/>
                <w:rtl w:val="0"/>
              </w:rPr>
              <w:t xml:space="preserve">Descripción</w:t>
            </w:r>
            <w:r>
              <w:rPr>
                <w:rtl w:val="0"/>
              </w:rPr>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Interpretación (qué significa para el usuario)</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MAE E_consumo (test)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4,2571 kW</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Error Absoluto Medio del gemelo digital al predecir el consumo energético en el conjunto de test.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El modelo se equivoca de media 4,26 kW sobre un consumo medio de ~435 kW (error relativo ~1%). Suficiente para comparar escenarios de operación.</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RMSE E_consumo (test)</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5,3838 kW</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Error cuadrático medio del gemelo digital para el consumo energético.</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Penaliza desviaciones puntuales grandes. Un error de 5,4 kW sobre 435 kW representa un 1,24% de error máximo esperado.</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R² E_consumo (test)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0,9779</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Coeficiente de determinación del gemelo digital para la predicción de consumo.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Excelente: el modelo explica el 97,8% de la varianza del consumo energético. Valida su uso como surrogate fiable para el algoritmo genético.</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MAE T_out_leche (test)</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0,0473 °C</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Error Absoluto Medio del gemelo digital al predecir la temperatura de salida de la leche.</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0,047 °C está muy por debajo de la incertidumbre de los sensores PT100 industriales (±0,15 °C). El modelo predice la temperatura con precisión operativa suficiente para aplicar la restricción de seguridad.</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RMSE T_out_leche (test)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0,0643 °C</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Error cuadrático medio para la temperatura de salida.</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El error máximo esperado es de 0,064 °C. Por eso el umbral de seguridad del optimizador se fija en 72,3 °C (no 72,0 °C), absorbiendo este margen de error.</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R² T_out_leche (test)</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0,3759</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Coeficiente de determinación para la temperatura de salida.</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Bajo por diseño: T_out está regulada por el PID/supervisor en una banda muy estrecha (σ = 0,08 °C). Con tanta poca varianza real, cualquier error residual deprime el R². El MAE (0,047 °C) es la métrica operativa relevante, no el R².</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Ahorro consumo específico (GA, test)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−10,73%</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Reducción del ratio E_consumo/F_flow del algoritmo genético respecto a la operación histórica simulada, sobre 7.708 instancias de test.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KPI principal: de 0,08845 a 0,07896 kW/(L/h). Supera ampliamente el umbral de éxito definido (≥ 3%). Demuestra la viabilidad de la solución para producción.</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Incremento de caudal (GA, test)</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+9,72%</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Aumento medio del caudal recomendado por el GA respecto al histórico del simulador.</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De 4.920,6 a 5.398,8 L/h. La mejora energética específica procede de procesar más litros con un coste proporcional menor, no de reducir la energía absoluta a costa de la producción.</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Cumplimiento térmico (GA, test)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100%</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Porcentaje de instancias de test en que la temperatura de salida recomendada supera 72,3 °C.</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Cumplimiento absoluto del requisito normativo Codex 2004 (HTST ≥ 72 °C). Condición innegociable para la viabilidad del sistema.</w:t>
            </w:r>
          </w:p>
        </w:tc>
      </w:tr>
    </w:tbl>
    <w:p w:rsidR="00000000" w:rsidDel="00000000" w:rsidP="00000000" w:rsidRDefault="00000000" w:rsidRPr="00000000" w14:paraId="0000004E">
      <w:pPr>
        <w:spacing w:before="280" w:lineRule="auto"/>
        <w:rPr/>
      </w:pPr>
      <w:r>
        <w:rPr>
          <w:rtl w:val="0"/>
        </w:rPr>
      </w:r>
    </w:p>
    <w:p>
      <w:pPr>
        <w:pStyle w:val="Heading2"/>
        <w:spacing w:after="120" w:before="320" w:lineRule="auto"/>
        <w:rPr/>
      </w:pPr>
      <w:r>
        <w:rPr>
          <w:rtl w:val="0"/>
        </w:rPr>
        <w:t xml:space="preserve">5. KPIs del modelo</w:t>
      </w:r>
    </w:p>
    <w:p>
      <w:pPr>
        <w:rPr/>
      </w:pPr>
      <w:r>
        <w:rPr>
          <w:rtl w:val="0"/>
        </w:rPr>
        <w:t xml:space="preserve">Indica los indicadores clave que permiten al usuario evaluar si el modelo está siendo útil en su contexto de negocio. No son métricas técnicas de entrenamiento (esas van en la sección 4), sino KPIs comprensibles para el usuario final. Ej: "Tasa de detección de muestras positivas en campo", "Reducción de intervenciones manuales", "Porcentaje de predicciones con confianza superior al 80%".</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
      <w:tr>
        <w:trPr>
          <w:tblHeader w:val="1"/>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KPI</w:t>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Valor objetivo / umbral</w:t>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Descripción comprensible</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Mejora del consumo específico ≥ 3%</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−10,73% — CUMPLIDO (×3,6 sobre el umbral)</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KPI operativo principal. Mide la eficiencia energética por litro de leche pasteurizada. Una planta que procesa ~5.400 L/h durante 16 horas/día durante 250 días ahorra ~137.000 kWh/año.</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Cumplimiento térmico 100%</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100% — CUMPLIDO</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Condición innegociable de seguridad alimentaria. Ninguna recomendación del sistema puede poner en riesgo la inocuidad del producto (mínimo 72,0 °C Codex; umbral interno 72,3 °C).</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MAE E_consumo &lt; 5% del consumo medio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4,26 kW sobre 435 kW = 0,98% — CUMPLIDO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El gemelo digital predice el consumo con suficiente precisión para servir como evaluador del algoritmo genético y para comparar escenarios de operación.</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MAE T_out_leche inferior a la tolerancia del sensor PT100</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0,047 °C vs ±0,15 °C PT100 — CUMPLIDO</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El error del modelo es menor que la incertidumbre del instrumento de medición industrial. El gemelo digital no introduce error adicional significativo respecto a la medición real de planta.</w:t>
            </w:r>
          </w:p>
        </w:tc>
      </w:tr>
    </w:tbl>
    <w:p>
      <w:pPr>
        <w:spacing w:before="280" w:lineRule="auto"/>
        <w:rPr/>
      </w:pPr>
    </w:p>
    <w:p>
      <w:pPr>
        <w:pStyle w:val="Heading2"/>
        <w:spacing w:after="120" w:before="320" w:lineRule="auto"/>
        <w:rPr/>
      </w:pPr>
      <w:r>
        <w:rPr>
          <w:rtl w:val="0"/>
        </w:rPr>
        <w:t xml:space="preserve">6. Limitaciones conocidas</w:t>
      </w:r>
    </w:p>
    <w:p>
      <w:pPr>
        <w:rPr/>
      </w:pPr>
      <w:r>
        <w:rPr>
          <w:rtl w:val="0"/>
        </w:rPr>
        <w:t xml:space="preserve">Describe las condiciones bajo las cuales el modelo puede fallar o dar resultados poco fiables. Sé específico: un usuario de campo necesita saber cuándo NO debe confiar en la predicción.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
      <w:tr>
        <w:trPr>
          <w:tblHeader w:val="1"/>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Tipo de limitación</w:t>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1f4e8f"/>
                <w:sz w:val="20"/>
                <w:szCs w:val="20"/>
                <w:rtl w:val="0"/>
              </w:rPr>
              <w:t xml:space="preserve">Descripción (cuándo no usar / qué puede fallar)</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Dataset 100% sintético (Sim2Real gap)</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El modelo se entrenó con datos generados por un simulador físico (V3.4), no con datos reales de planta SCADA. Aunque el simulador incorpora variabilidad estocástica (ruido de sensores, variabilidad por lote, fouling no lineal, eficiencia variable de bomba), la relación aprendida puede no reproducirse exactamente en una planta real con fouling real, pérdidas térmicas en tuberías, desgaste de bomba o deriva de sensores. Se requiere calibración con datos históricos reales antes del despliegue definitivo.</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Riesgo de consumo absoluto mayor</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El algoritmo optimiza el consumo específico (E/F), no el consumo absoluto. Puede recomendar caudales más altos que incrementen el consumo total en kW aunque mejoren la eficiencia por litro. En plantas con límites de potencia contratada o capacidad de caldera, esto puede ser un problema. Solución: añadir restricción de potencia máxima en la función de fitness del GA.</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No incluye evaluación de desgaste mecánico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El GA recomienda operar frecuentemente a caudales próximos al límite superior (~5.400 L/h). La operación sostenida a caudales altos puede acelerar el desgaste de la bomba. El modelo no penaliza este efecto. Solución futura: añadir término de penalización por desgaste en la función fitness.</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Sin modelado de huella de carbono</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La eficiencia energética no equivale necesariamente a menor impacto ambiental si el vector energético de la caldera tiene alta intensidad de carbono. El sistema no incorpora factor de emisión de CO₂. Una extensión futura debería optimizar simultáneamente consumo específico, coste económico y emisiones equivalentes.</w:t>
            </w:r>
          </w:p>
        </w:tc>
      </w:tr>
      <w:tr>
        <w:trPr>
          <w:cantSplit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Solo pasteurización HTST de leche</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El simulador y el modelo están parametrizados para leche (propiedades termofísicas específicas: Cp ~3.890 J/kgK, densidad ~1.030 kg/m³) en configuración HTST. No es directamente aplicable a otros productos lácteos (nata, suero) ni a otras temperaturas de pasteurización sin reentrenamiento.</w:t>
            </w:r>
          </w:p>
        </w:tc>
      </w:tr>
      <w:tr>
        <w:trPr>
          <w:cantSplit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Latencia del GA en producción real</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Tiempo medio de optimización: 0,72 s por instancia en hardware de referencia (Intel i7-9700 + RTX 4000). En hardware de planta industrial con menos capacidad, puede aumentar. Si la planta requiere respuesta en &lt; 1 s, verificar compatibilidad del hardware antes del despliegue.</w:t>
            </w:r>
          </w:p>
        </w:tc>
      </w:tr>
    </w:tbl>
    <w:p>
      <w:pPr>
        <w:spacing w:before="280" w:lineRule="auto"/>
        <w:rPr/>
      </w:pPr>
    </w:p>
    <w:p w:rsidR="00000000" w:rsidDel="00000000" w:rsidP="00000000" w:rsidRDefault="00000000" w:rsidRPr="00000000" w14:paraId="0000004F">
      <w:pPr>
        <w:pStyle w:val="Heading2"/>
        <w:spacing w:after="120" w:before="320" w:lineRule="auto"/>
        <w:rPr/>
      </w:pPr>
      <w:r>
        <w:rPr>
          <w:rtl w:val="0"/>
        </w:rPr>
        <w:t xml:space="preserve">7. Observaciones / notas adicionales</w:t>
      </w:r>
    </w:p>
    <w:p w:rsidR="00000000" w:rsidDel="00000000" w:rsidP="00000000" w:rsidRDefault="00000000" w:rsidRPr="00000000" w14:paraId="00000050">
      <w:pPr>
        <w:rPr/>
      </w:pPr>
      <w:r>
        <w:rPr>
          <w:rtl w:val="0"/>
        </w:rPr>
        <w:t xml:space="preserve">CPU x86-64 (mín. 2 vCPU, recomendado i7 o equivalente), 4 GB RAM (8 GB recomendado), sin GPU necesaria en producción (inferencia + GA en CPU). Python 3.10.11, PyTorch, DEAP, scikit-learn, pandas, numpy, joblib. Entorno reproducible mediante requirements.txt. El sistema opera en modo on-premise (no requiere conexión a internet). El modelo NO actúa de forma autónoma sobre la planta: entrega recomendaciones que el operario revisa y aplica manualmente en el SCADA. Antes del despliegue en una planta real se requiere fase de calibración con datos históricos de la instalación específica. Reproducibilidad garantizada mediante semilla fija (seed=1) en todas las operaciones estocásticas. Pipeline completo reproducible: python scripts/data_processing.py → train.py → predict.py → optimize.py.</w:t>
      </w:r>
    </w:p>
    <w:p>
      <w:pPr>
        <w:pStyle w:val="Heading2"/>
        <w:spacing w:after="120" w:before="320" w:lineRule="auto"/>
        <w:rPr/>
      </w:pPr>
      <w:r>
        <w:rPr>
          <w:rtl w:val="0"/>
        </w:rPr>
        <w:t xml:space="preserve">8. Fichero de prueba de referencia</w:t>
      </w:r>
    </w:p>
    <w:p>
      <w:pPr>
        <w:rPr/>
      </w:pPr>
      <w:r>
        <w:rPr>
          <w:rtl w:val="0"/>
        </w:rPr>
        <w:t xml:space="preserve">Proporciona un fichero de prueba real con el que tu equipo haya validado el modelo. Se utilizará para verificar la integración en la plataforma y en producción.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
      <w:t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333333"/>
                <w:sz w:val="20"/>
                <w:szCs w:val="20"/>
                <w:rtl w:val="0"/>
              </w:rPr>
              <w:t xml:space="preserve">Nombre del fichero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data/splits/test.csv — subconjunto temporal de test del dataset sintético (últimos 15% de datos por cuartiles)</w:t>
            </w:r>
          </w:p>
        </w:tc>
      </w:tr>
      <w:t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333333"/>
                <w:sz w:val="20"/>
                <w:szCs w:val="20"/>
                <w:rtl w:val="0"/>
              </w:rPr>
              <w:t xml:space="preserve">Número de registros / muestras</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pPr>
              <w:rPr/>
            </w:pPr>
            <w:r>
              <w:rPr>
                <w:rtl w:val="0"/>
              </w:rPr>
              <w:t xml:space="preserve">7.708 registros tabulares (instancias de operación a 5 min de granularidad, solo registros productivos Is_Cleaning=0)</w:t>
            </w:r>
          </w:p>
        </w:tc>
      </w:tr>
      <w:t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pPr>
              <w:rPr/>
            </w:pPr>
            <w:r>
              <w:rPr>
                <w:b w:val="1"/>
                <w:bCs w:val="1"/>
                <w:color w:val="333333"/>
                <w:sz w:val="20"/>
                <w:szCs w:val="20"/>
                <w:rtl w:val="0"/>
              </w:rPr>
              <w:t xml:space="preserve">Resultado esperado con este fichero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pPr>
              <w:rPr/>
            </w:pPr>
            <w:r>
              <w:rPr>
                <w:rtl w:val="0"/>
              </w:rPr>
              <w:t xml:space="preserve">Describe los outputs esperados al ejecutar este fichero. Ej: "La primera muestra debe devolver label=POSITIVO con score &gt; 0.85. La segunda debe devolver NEGATIVO."</w:t>
            </w:r>
          </w:p>
        </w:tc>
      </w:tr>
    </w:tbl>
    <w:p>
      <w:pPr>
        <w:spacing w:before="280" w:lineRule="auto"/>
        <w:rPr/>
      </w:pP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center"/>
      <w:rPr/>
    </w:pPr>
    <w:r w:rsidDel="00000000" w:rsidR="00000000" w:rsidRPr="00000000">
      <w:rPr>
        <w:color w:val="999999"/>
        <w:sz w:val="16"/>
        <w:szCs w:val="16"/>
        <w:rtl w:val="0"/>
      </w:rPr>
      <w:t xml:space="preserve">Plantilla metadatos de modelo -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pPr>
    <w:rPr>
      <w:rFonts w:ascii="Arial" w:cs="Arial" w:eastAsia="Arial" w:hAnsi="Arial"/>
      <w:b w:val="1"/>
      <w:bCs w:val="1"/>
      <w:i w:val="0"/>
      <w:iCs w:val="0"/>
      <w:smallCaps w:val="0"/>
      <w:strike w:val="0"/>
      <w:color w:val="1f4e8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f4e8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dwVchzUq8NZDJrgtdv9TlGT52g==">CgMxLjA4AHIhMWNDSzVzLU9zYlQ1dzZEUkFqR2dOUWxvMmJhRmFBd2V4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