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ml14-wine-phyto-price-forecast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Modelo de predicción semanal del índice MAPA de precios de protección fitosanitaria (sector vitivinícola, base 2020=100) a 16 semanas vista, mediante una red GRU (PyTorch, 2 capas, 64 unidades ocultas) que predice un residual sobre un baseline lineal de drift y reconstruye el precio en escala original. Es el artefacto y la evaluación oficialmente aprobados por el equipo de IA: en el test reportado, el GRU supera al baseline lineal de Drift.</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Regresión de serie temporal, horizonte fijo t+16 semanas (direct forecasting sobre residual de drift)</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PyTorch (nn.GRU, 2 capas, hidden_size=64, dropout=0.3); scikit-learn (StandardScaler, reajustado desde el dataset de entrenamiento en cada predicción); pandas / numpy</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gru_model.pt (state_dict PyTorch, 45.185 parámetros) + final_dataset_for_modeling.csv (dataset de referencia bundled, usado para reajustar los escaladores de entrada/objetivo en cada predicción, igual que hace el código original)</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con 16 semanas de antelación la evolución del índice nacional de precios de protección fitosanitaria, para dar soporte a la planificación de compras y a la evaluación de riesgo de coste del sector vitivinícola. En la evaluación de test reportada por el equipo de IA, el modelo GRU mejora de forma clara sobre el baseline de tendencia simple (Drift) y sobre no hacer ningún cambio (Naive).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También admite reentrenamiento por usuario (/train): con un histórico semanal propio repite el procedimiento del equipo de IA para la GRU y guarda el modelo resultante en MLflow, sin sustituir nunca el modelo base.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rows (histórico semanal, mínimo 24 filas)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list[dict]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Cada fila: date (YYYY-MM-DD, domingo), PROTECCION_FITO, CARBURANTES, COPPER_EUR_TON, GAS_EUR_MMBTU, COIL_EUR_BARRIL, DEXUSEU — todas índices/precios base 2020=100 o unidad de mercado (EUR/tonelada, EUR/MMBtu, EUR/barril, USD/EUR)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 mínimo 24 filas semanales consecutivas sin huecos ni duplicados</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MONTH, MONTH_SIN, MONTH_COS, *_LAG_{4,8,12}, *_MA_{4,8}, *_DIFF_MONTH (39 features totales)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Variables derivadas automáticamente del histórico aportado (estacionalidad, retardos autorregresivos, medias móviles, diferencia mensual) — nunca se piden al cliente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 — siempre calculadas por el servicio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derivadas del histórico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predicted_price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(índice base 2020=100)</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predicho a 16 semanas vista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continuo, típicamente 80-135 (rango histórico del índice, 2005-2025)</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valor esperado del índice nacional dentro de 16 semanas; comparar con current_price y drift_baseline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current_price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PROTECCION_FITO de la última fila del histórico aportado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ancla de referencia inmediata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drift_baseline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Baseline lineal simple (extrapolación de la tendencia mensual reciente) — la referencia frente a la que el GRU sí mejora en el test reportado</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igual rango que predicted_price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la diferencia entre predicted_price y drift_baseline es la corrección que aporta el modelo aprendido sobre la simple extrapolación de tendencia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horizon_weeks / last_observed_date / prediction_date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 / date / 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Horizonte (siempre 16), última fecha del histórico y fecha objetivo de la predicción (last_observed_date + 16 semanas)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prediction_date es la fecha a la que se refiere predicted_price, no la fecha de ejecución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gap_warning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 | null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Aviso si el histórico aportado está desactualizado respecto a la fecha de ejecución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si no es null, la predicción se basa en datos que ya no reflejan la semana actual</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Test reportado (models/metrics/model_comparison.json, split temporal único 80/20)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GRU: RMSE=2,2873; MAE=1,699; MAPE=1,3933%; R²=0,7108; acierto direccional=77,7%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211 observaciones de test, arquitectura seleccionada automáticamente por menor RMSE entre GRU/LSTM/XGBoost (media de 3 semillas)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se equivoca de media 1,70 puntos de índice en el periodo evaluado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Drift (baseline lineal, mismo test)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RMSE=2,5406; MAE=1,9403; MAPE=1,58%; R²=0,6432; acierto direccional=72,0%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Extrapolar la tendencia mensual reciente, sin ningún modelo aprendido</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GRU se equivoca MENOS que el baseline simple en las 4 métricas evaluadas — el criterio de aceptación del proyecto (RMSE_GRU &lt; RMSE_Drift) SÍ se cumple.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Naive y XGBoost (mismo test, referencia adicional)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Naive: RMSE=3,8856; XGBoost: RMSE=3,3076</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Ambos peores que Drift y que el GRU en esta evaluación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confirma que el GRU es la mejor opción disponible entre todas las evaluadas, no solo frente al baseline más simple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5/5 casos, coincidencia exacta (diferencia 0,0) contra el endpoint HTTP real</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4 ventanas históricas reales + 1 caso de rechazo controlado, re-ejecutados contra /predict del plugin integrado, incluida una verificación cruzada contra la salida literal del CLI original (`--model auto`) — ver outputs/a14/verification_report.md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servicio integrado reproduce exactamente el comportamiento del artefacto GRU entregado, incluida la selección automática de arquitectura del código original.</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Evaluación con un único split temporal (sin partición de validación separada)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Esta entrega evalúa arquitecturas y reporta el resultado final sobre el mismo split de test (80/20), sin una fase de validación previa aislada del test. Existe una copia distinta y no oficial de este mismo código (no confirmada como aprobada por el equipo de IA) que identificaba esto como una posible fuga de datos entre selección de arquitectura y evaluación, y que, con un protocolo corregido, obtenía un resultado distinto (un modelo que no superaba a Drift). Esa auditoría no se ha podido contrastar con el equipo de IA y no forma parte de la entrega aprobada -- se deja constancia de su existencia por transparencia, sin que determine el estado de aceptación de este modelo.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Reentrenamiento: requisitos y alcance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reentrenamiento por usuario repite el procedimiento del equipo de IA para la GRU (split temporal 80/20, 3 semillas, se guarda la de la semilla 42) con un histórico semanal en el formato del dataset de modelado o con las series en bruto. Como en el original, la parada temprana se decide sobre el propio periodo de test, así que sus métricas de test son optimistas. El modelo reentrenado solo se guarda en MLflow y se usa indicando su run; el modelo base no cambia.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Reajuste de escaladores en caliente, no un artefacto congelado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Esta entrega no incluye ningún escalador serializado -- el propio código original reajusta (fit) los escaladores de entrada/objetivo desde el dataset de entrenamiento bundled en cada predicción. Este servicio replica exactamente ese comportamiento, empaquetando el mismo dataset de referencia junto al modelo.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Dependencia de fuentes de datos externas y su continuidad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Las variables de entrada dependen de la publicación continuada de los índices MAPA (protección fitosanitaria, carburantes) y de las series FRED/IMF/EIA (cobre, gas, petróleo, tipo de cambio). Un cambio de metodología o una interrupción en cualquiera de esas fuentes no está contemplado por el modelo.</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Solo CPU, sin GPU (GRU pequeño, 45.185 parámetros, ~185 KB el artefacto). requirements.txt fija torch==2.10.0 sin distinguir variante CPU/CUDA — se recomienda fijar explícitamente la rueda CPU en el entorno de despliegue de este servicio para no arrastrar dependencias CUDA innecesarias. No requiere conexión a red en inferencia (el dataset de referencia va bundled).</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Ventanas de 24 filas extraídas de data/processed/final_dataset_for_modeling.csv (mismo dataset bundled con el que se reajustan los escaladores)</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5 casos: 4 ventanas históricas reales (24-30 filas cada una) + 1 caso de rechazo controlado con 23 filas (por debajo del mínimo operativo)</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predict inline sobre los 5 casos reproduce exactamente (diferencia 0,0, o HTTP 422 en el caso de rechazo) los golden_cases del manifest, ejecutado contra el endpoint HTTP real del plugin integrado con el artefacto PyTorch real cargado; un caso se verificó además contra la salida literal del CLI original del equipo de IA</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