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Plantilla de Metadatos — Modelo A21</w:t>
      </w:r>
    </w:p>
    <w:p>
      <w:pPr>
        <w:pStyle w:val="Heading2"/>
      </w:pPr>
      <w:r>
        <w:t>Información del Modelo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Identificador del modelo</w:t>
            </w:r>
          </w:p>
        </w:tc>
        <w:tc>
          <w:tcPr>
            <w:tcW w:type="dxa" w:w="4320"/>
          </w:tcPr>
          <w:p>
            <w:r>
              <w:t>ml21-cereals-price-spatial</w:t>
            </w:r>
          </w:p>
        </w:tc>
      </w:tr>
      <w:tr>
        <w:tc>
          <w:tcPr>
            <w:tcW w:type="dxa" w:w="4320"/>
          </w:tcPr>
          <w:p>
            <w:r>
              <w:t>Nombre completo</w:t>
            </w:r>
          </w:p>
        </w:tc>
        <w:tc>
          <w:tcPr>
            <w:tcW w:type="dxa" w:w="4320"/>
          </w:tcPr>
          <w:p>
            <w:r>
              <w:t>Desarrollo de un modelo espacial de predicción de precios en áreas concretas del sector cerealístico</w:t>
            </w:r>
          </w:p>
        </w:tc>
      </w:tr>
      <w:tr>
        <w:tc>
          <w:tcPr>
            <w:tcW w:type="dxa" w:w="4320"/>
          </w:tcPr>
          <w:p>
            <w:r>
              <w:t>Acrónimo</w:t>
            </w:r>
          </w:p>
        </w:tc>
        <w:tc>
          <w:tcPr>
            <w:tcW w:type="dxa" w:w="4320"/>
          </w:tcPr>
          <w:p>
            <w:r>
              <w:t>ESP-CEREAL</w:t>
            </w:r>
          </w:p>
        </w:tc>
      </w:tr>
      <w:tr>
        <w:tc>
          <w:tcPr>
            <w:tcW w:type="dxa" w:w="4320"/>
          </w:tcPr>
          <w:p>
            <w:r>
              <w:t>Sector</w:t>
            </w:r>
          </w:p>
        </w:tc>
        <w:tc>
          <w:tcPr>
            <w:tcW w:type="dxa" w:w="4320"/>
          </w:tcPr>
          <w:p>
            <w:r>
              <w:t>Cerealista</w:t>
            </w:r>
          </w:p>
        </w:tc>
      </w:tr>
      <w:tr>
        <w:tc>
          <w:tcPr>
            <w:tcW w:type="dxa" w:w="4320"/>
          </w:tcPr>
          <w:p>
            <w:r>
              <w:t>Versión del modelo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Versión de la memoria</w:t>
            </w:r>
          </w:p>
        </w:tc>
        <w:tc>
          <w:tcPr>
            <w:tcW w:type="dxa" w:w="4320"/>
          </w:tcPr>
          <w:p>
            <w:r>
              <w:t>6.1</w:t>
            </w:r>
          </w:p>
        </w:tc>
      </w:tr>
      <w:tr>
        <w:tc>
          <w:tcPr>
            <w:tcW w:type="dxa" w:w="4320"/>
          </w:tcPr>
          <w:p>
            <w:r>
              <w:t>Fecha de versión de la memoria</w:t>
            </w:r>
          </w:p>
        </w:tc>
        <w:tc>
          <w:tcPr>
            <w:tcW w:type="dxa" w:w="4320"/>
          </w:tcPr>
          <w:p>
            <w:r>
              <w:t>30/04/2026</w:t>
            </w:r>
          </w:p>
        </w:tc>
      </w:tr>
      <w:tr>
        <w:tc>
          <w:tcPr>
            <w:tcW w:type="dxa" w:w="4320"/>
          </w:tcPr>
          <w:p>
            <w:r>
              <w:t>Tipo de modelo</w:t>
            </w:r>
          </w:p>
        </w:tc>
        <w:tc>
          <w:tcPr>
            <w:tcW w:type="dxa" w:w="4320"/>
          </w:tcPr>
          <w:p>
            <w:r>
              <w:t>Regresión + Clasificación (multi-horizonte: H1=30d, H2=60d, H3=90d)</w:t>
            </w:r>
          </w:p>
        </w:tc>
      </w:tr>
      <w:tr>
        <w:tc>
          <w:tcPr>
            <w:tcW w:type="dxa" w:w="4320"/>
          </w:tcPr>
          <w:p>
            <w:r>
              <w:t>Variable objetivo</w:t>
            </w:r>
          </w:p>
        </w:tc>
        <w:tc>
          <w:tcPr>
            <w:tcW w:type="dxa" w:w="4320"/>
          </w:tcPr>
          <w:p>
            <w:r>
              <w:t>retorno_provincial = (precio_(t+h) - precio_(t-1)) / precio_(t-1) [regresión]; dirección del movimiento [clasificación]</w:t>
            </w:r>
          </w:p>
        </w:tc>
      </w:tr>
      <w:tr>
        <w:tc>
          <w:tcPr>
            <w:tcW w:type="dxa" w:w="4320"/>
          </w:tcPr>
          <w:p>
            <w:r>
              <w:t>Framework principal</w:t>
            </w:r>
          </w:p>
        </w:tc>
        <w:tc>
          <w:tcPr>
            <w:tcW w:type="dxa" w:w="4320"/>
          </w:tcPr>
          <w:p>
            <w:r>
              <w:t>scikit-learn (ExtraTrees, LogisticRegression) + XGBoost</w:t>
            </w:r>
          </w:p>
        </w:tc>
      </w:tr>
      <w:tr>
        <w:tc>
          <w:tcPr>
            <w:tcW w:type="dxa" w:w="4320"/>
          </w:tcPr>
          <w:p>
            <w:r>
              <w:t>Organismo desarrollador</w:t>
            </w:r>
          </w:p>
        </w:tc>
        <w:tc>
          <w:tcPr>
            <w:tcW w:type="dxa" w:w="4320"/>
          </w:tcPr>
          <w:p>
            <w:r>
              <w:t>AIR Institute</w:t>
            </w:r>
          </w:p>
        </w:tc>
      </w:tr>
      <w:tr>
        <w:tc>
          <w:tcPr>
            <w:tcW w:type="dxa" w:w="4320"/>
          </w:tcPr>
          <w:p>
            <w:r>
              <w:t>Lote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pPr>
        <w:pStyle w:val="Heading2"/>
      </w:pPr>
      <w:r>
        <w:t>Artefactos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Fichero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datagia_best_h1_reg.joblib</w:t>
            </w:r>
          </w:p>
        </w:tc>
        <w:tc>
          <w:tcPr>
            <w:tcW w:type="dxa" w:w="2880"/>
          </w:tcPr>
          <w:p>
            <w:r>
              <w:t>ExtraTreesRegressor</w:t>
            </w:r>
          </w:p>
        </w:tc>
        <w:tc>
          <w:tcPr>
            <w:tcW w:type="dxa" w:w="2880"/>
          </w:tcPr>
          <w:p>
            <w:r>
              <w:t>Modelo de regresión H1 (30 días) — retorno porcentual provincial</w:t>
            </w:r>
          </w:p>
        </w:tc>
      </w:tr>
      <w:tr>
        <w:tc>
          <w:tcPr>
            <w:tcW w:type="dxa" w:w="2880"/>
          </w:tcPr>
          <w:p>
            <w:r>
              <w:t>datagia_best_h1_clf.joblib</w:t>
            </w:r>
          </w:p>
        </w:tc>
        <w:tc>
          <w:tcPr>
            <w:tcW w:type="dxa" w:w="2880"/>
          </w:tcPr>
          <w:p>
            <w:r>
              <w:t>LogisticRegression calibrado</w:t>
            </w:r>
          </w:p>
        </w:tc>
        <w:tc>
          <w:tcPr>
            <w:tcW w:type="dxa" w:w="2880"/>
          </w:tcPr>
          <w:p>
            <w:r>
              <w:t>Modelo de clasificación H1 (30 días) — dirección alcista/bajista</w:t>
            </w:r>
          </w:p>
        </w:tc>
      </w:tr>
      <w:tr>
        <w:tc>
          <w:tcPr>
            <w:tcW w:type="dxa" w:w="2880"/>
          </w:tcPr>
          <w:p>
            <w:r>
              <w:t>datagia_best_h2_reg.joblib</w:t>
            </w:r>
          </w:p>
        </w:tc>
        <w:tc>
          <w:tcPr>
            <w:tcW w:type="dxa" w:w="2880"/>
          </w:tcPr>
          <w:p>
            <w:r>
              <w:t>ExtraTreesRegressor</w:t>
            </w:r>
          </w:p>
        </w:tc>
        <w:tc>
          <w:tcPr>
            <w:tcW w:type="dxa" w:w="2880"/>
          </w:tcPr>
          <w:p>
            <w:r>
              <w:t>Modelo de regresión H2 (60 días) — retorno porcentual provincial</w:t>
            </w:r>
          </w:p>
        </w:tc>
      </w:tr>
      <w:tr>
        <w:tc>
          <w:tcPr>
            <w:tcW w:type="dxa" w:w="2880"/>
          </w:tcPr>
          <w:p>
            <w:r>
              <w:t>datagia_best_h2_clf.joblib</w:t>
            </w:r>
          </w:p>
        </w:tc>
        <w:tc>
          <w:tcPr>
            <w:tcW w:type="dxa" w:w="2880"/>
          </w:tcPr>
          <w:p>
            <w:r>
              <w:t>LogisticRegression calibrado</w:t>
            </w:r>
          </w:p>
        </w:tc>
        <w:tc>
          <w:tcPr>
            <w:tcW w:type="dxa" w:w="2880"/>
          </w:tcPr>
          <w:p>
            <w:r>
              <w:t>Modelo de clasificación H2 (60 días) — dirección alcista/bajista</w:t>
            </w:r>
          </w:p>
        </w:tc>
      </w:tr>
      <w:tr>
        <w:tc>
          <w:tcPr>
            <w:tcW w:type="dxa" w:w="2880"/>
          </w:tcPr>
          <w:p>
            <w:r>
              <w:t>datagia_best_h3_reg.joblib</w:t>
            </w:r>
          </w:p>
        </w:tc>
        <w:tc>
          <w:tcPr>
            <w:tcW w:type="dxa" w:w="2880"/>
          </w:tcPr>
          <w:p>
            <w:r>
              <w:t>XGBRegressor</w:t>
            </w:r>
          </w:p>
        </w:tc>
        <w:tc>
          <w:tcPr>
            <w:tcW w:type="dxa" w:w="2880"/>
          </w:tcPr>
          <w:p>
            <w:r>
              <w:t>Modelo de regresión H3 (90 días) — retorno porcentual provincial</w:t>
            </w:r>
          </w:p>
        </w:tc>
      </w:tr>
      <w:tr>
        <w:tc>
          <w:tcPr>
            <w:tcW w:type="dxa" w:w="2880"/>
          </w:tcPr>
          <w:p>
            <w:r>
              <w:t>datagia_best_h3_clf.joblib</w:t>
            </w:r>
          </w:p>
        </w:tc>
        <w:tc>
          <w:tcPr>
            <w:tcW w:type="dxa" w:w="2880"/>
          </w:tcPr>
          <w:p>
            <w:r>
              <w:t>LogisticRegression calibrado</w:t>
            </w:r>
          </w:p>
        </w:tc>
        <w:tc>
          <w:tcPr>
            <w:tcW w:type="dxa" w:w="2880"/>
          </w:tcPr>
          <w:p>
            <w:r>
              <w:t>Modelo de clasificación H3 (90 días) — dirección alcista/bajista</w:t>
            </w:r>
          </w:p>
        </w:tc>
      </w:tr>
      <w:tr>
        <w:tc>
          <w:tcPr>
            <w:tcW w:type="dxa" w:w="2880"/>
          </w:tcPr>
          <w:p>
            <w:r>
              <w:t>model_metadata.json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Registro de metadatos: selected_models, expected_columns por modelo (92 variables), hiperparametros. No incluye feature_importances de fabrica — el plugin las calcula en memoria al cargar (explain.py) y las persiste de nuevo tras cada reentrenamiento.</w:t>
            </w:r>
          </w:p>
        </w:tc>
      </w:tr>
      <w:tr>
        <w:tc>
          <w:tcPr>
            <w:tcW w:type="dxa" w:w="2880"/>
          </w:tcPr>
          <w:p>
            <w:r>
              <w:t>dataset_entrenamiento_final.csv</w:t>
            </w:r>
          </w:p>
        </w:tc>
        <w:tc>
          <w:tcPr>
            <w:tcW w:type="dxa" w:w="2880"/>
          </w:tcPr>
          <w:p>
            <w:r>
              <w:t>CSV (panel)</w:t>
            </w:r>
          </w:p>
        </w:tc>
        <w:tc>
          <w:tcPr>
            <w:tcW w:type="dxa" w:w="2880"/>
          </w:tcPr>
          <w:p>
            <w:r>
              <w:t>Dataset base provincia x cereal x mes (~7.6k filas). Obligatorio para predict_inline: resuelve las ~90 columnas de ingenieria (lat_centroide, month_sin/cos, fase_*, lags de precios, clima, indices MAPA) que el caller solo aporta como provincia/cereal/mes.</w:t>
            </w:r>
          </w:p>
        </w:tc>
      </w:tr>
    </w:tbl>
    <w:p/>
    <w:p>
      <w:pPr>
        <w:pStyle w:val="Heading2"/>
      </w:pPr>
      <w:r>
        <w:t>Librerías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Librería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Versión</w:t>
            </w:r>
          </w:p>
        </w:tc>
      </w:tr>
      <w:tr>
        <w:tc>
          <w:tcPr>
            <w:tcW w:type="dxa" w:w="4320"/>
          </w:tcPr>
          <w:p>
            <w:r>
              <w:t>scikit-learn</w:t>
            </w:r>
          </w:p>
        </w:tc>
        <w:tc>
          <w:tcPr>
            <w:tcW w:type="dxa" w:w="4320"/>
          </w:tcPr>
          <w:p>
            <w:r>
              <w:t>&gt;=1.3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&gt;=2.0</w:t>
            </w:r>
          </w:p>
        </w:tc>
      </w:tr>
      <w:tr>
        <w:tc>
          <w:tcPr>
            <w:tcW w:type="dxa" w:w="4320"/>
          </w:tcPr>
          <w:p>
            <w:r>
              <w:t>pandas</w:t>
            </w:r>
          </w:p>
        </w:tc>
        <w:tc>
          <w:tcPr>
            <w:tcW w:type="dxa" w:w="4320"/>
          </w:tcPr>
          <w:p>
            <w:r>
              <w:t>&gt;=2.0</w:t>
            </w:r>
          </w:p>
        </w:tc>
      </w:tr>
      <w:tr>
        <w:tc>
          <w:tcPr>
            <w:tcW w:type="dxa" w:w="4320"/>
          </w:tcPr>
          <w:p>
            <w:r>
              <w:t>numpy</w:t>
            </w:r>
          </w:p>
        </w:tc>
        <w:tc>
          <w:tcPr>
            <w:tcW w:type="dxa" w:w="4320"/>
          </w:tcPr>
          <w:p>
            <w:r>
              <w:t>&gt;=1.24</w:t>
            </w:r>
          </w:p>
        </w:tc>
      </w:tr>
      <w:tr>
        <w:tc>
          <w:tcPr>
            <w:tcW w:type="dxa" w:w="4320"/>
          </w:tcPr>
          <w:p>
            <w:r>
              <w:t>joblib</w:t>
            </w:r>
          </w:p>
        </w:tc>
        <w:tc>
          <w:tcPr>
            <w:tcW w:type="dxa" w:w="4320"/>
          </w:tcPr>
          <w:p>
            <w:r>
              <w:t>&gt;=1.3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