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Mockups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Complementa el Modelo de Casos de Uso · Proyecto Final UTN-FRT 2026 · ID T045</w:t>
      </w:r>
    </w:p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Convenciones</w:t>
      </w:r>
    </w:p>
    <w:p>
      <w:pPr>
        <w:spacing w:after="120"/>
      </w:pPr>
      <w:r>
        <w:t xml:space="preserve">Wireframes de fidelidad media: labels, navegación y textos de UI reales; los datos mostrados (nombres, DNI, montos) son ilustrativos. El detalle de interacción concreta con cada pantalla se desarrolla en el entregable "Casos de Uso Reales".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Navegación lateral (Operador/Administrador): refleja los módulos del backend uno a uno. El Administrador ve además "Indicadores" y "Usuarios".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Portal de autogestión (Beneficiario): navegación superior simplificada, sin acceso a datos de otros beneficiarios.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público: sin barra lateral ni sesión iniciada; accesible para cualquier visitante.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Badges de estado: verde = OK/vigente/completo, amarillo = atención/vencido/en curso, rojo = pendiente/bloqueante, azul = informativo.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áreas con textura rayada representan imágenes o gráficos (fotos de marcos, gráficos del panel de impacto, previsualización del probador virtual).</w:t>
      </w:r>
    </w:p>
    <w:p>
      <w:pPr>
        <w:pStyle w:val="Heading1"/>
        <w:spacing w:after="200" w:before="400"/>
      </w:pPr>
      <w:r>
        <w:t xml:space="preserve">Listado de pantallas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2200"/>
        <w:gridCol w:w="3780"/>
      </w:tblGrid>
      <w:tr>
        <w:trPr>
          <w:tblHeader/>
        </w:trPr>
        <w:tc>
          <w:tcPr>
            <w:tcW w:type="dxa" w:w="5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Pantalla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37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Casos de uso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Inicio de sesión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RNF-01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Inicio (panel del Operador)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Solicitantes — Listado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UC-08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Solicitantes — Alta / Detalle y validación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UC-01, UC-02, UC-06, UC-03, UC-04, UC-05, UC-07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Donantes — Listado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UC-12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Donantes — Registrar recepción de marcos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UC-09, UC-10, UC-11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Inventario de marcos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UC-13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Asignación — Match y asignar marco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UC-14, UC-15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Trazabilidad de la asignación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UC-16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Probador virtual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 / 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UC-17, UC-18, UC-19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Turnos — Agenda del staff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UC-20, UC-21, UC-22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Autogestión — Mis turnos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UC-20, UC-20b, UC-21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Logística — Envíos entre sucursales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UC-23, UC-24, UC-25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Panel de indicadores de impacto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UC-26, UC-27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público de anteojos de sol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UC-28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— Gestión de stock y ventas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UC-29, UC-30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1. Inicio de sesión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Todos  ·  Casos de uso: RNF-01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 — Inicio de sesión</w:t>
      </w:r>
    </w:p>
    <w:p>
      <w:pPr>
        <w:pStyle w:val="Heading1"/>
        <w:spacing w:after="200" w:before="400"/>
      </w:pPr>
      <w:r>
        <w:t xml:space="preserve">2. Inicio (panel del Operador)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—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2 — Inicio (panel del Operador)</w:t>
      </w:r>
    </w:p>
    <w:p>
      <w:pPr>
        <w:pStyle w:val="Heading1"/>
        <w:spacing w:after="200" w:before="400"/>
      </w:pPr>
      <w:r>
        <w:t xml:space="preserve">3. Solicitantes — Listado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3 — Solicitantes — Listado</w:t>
      </w:r>
    </w:p>
    <w:p>
      <w:pPr>
        <w:pStyle w:val="Heading1"/>
        <w:spacing w:after="200" w:before="400"/>
      </w:pPr>
      <w:r>
        <w:t xml:space="preserve">4. Solicitantes — Alta / Detalle y validación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UC-01, UC-02, UC-06, UC-03, UC-04, UC-05, UC-07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4 — Solicitantes — Alta / Detalle y validación</w:t>
      </w:r>
    </w:p>
    <w:p>
      <w:pPr>
        <w:pStyle w:val="Heading1"/>
        <w:spacing w:after="200" w:before="400"/>
      </w:pPr>
      <w:r>
        <w:t xml:space="preserve">5. Donantes — Listado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5 — Donantes — Listado</w:t>
      </w:r>
    </w:p>
    <w:p>
      <w:pPr>
        <w:pStyle w:val="Heading1"/>
        <w:spacing w:after="200" w:before="400"/>
      </w:pPr>
      <w:r>
        <w:t xml:space="preserve">6. Donantes — Registrar recepción de marcos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UC-09, UC-10, UC-11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6 — Donantes — Registrar recepción de marcos</w:t>
      </w:r>
    </w:p>
    <w:p>
      <w:pPr>
        <w:pStyle w:val="Heading1"/>
        <w:spacing w:after="200" w:before="400"/>
      </w:pPr>
      <w:r>
        <w:t xml:space="preserve">7. Inventario de marcos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7 — Inventario de marcos</w:t>
      </w:r>
    </w:p>
    <w:p>
      <w:pPr>
        <w:pStyle w:val="Heading1"/>
        <w:spacing w:after="200" w:before="400"/>
      </w:pPr>
      <w:r>
        <w:t xml:space="preserve">8. Asignación — Match y asignar marco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UC-14, UC-15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8 — Asignación — Match y asignar marco</w:t>
      </w:r>
    </w:p>
    <w:p>
      <w:pPr>
        <w:pStyle w:val="Heading1"/>
        <w:spacing w:after="200" w:before="400"/>
      </w:pPr>
      <w:r>
        <w:t xml:space="preserve">9. Trazabilidad de la asignación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9 — Trazabilidad de la asignación</w:t>
      </w:r>
    </w:p>
    <w:p>
      <w:pPr>
        <w:pStyle w:val="Heading1"/>
        <w:spacing w:after="200" w:before="400"/>
      </w:pPr>
      <w:r>
        <w:t xml:space="preserve">10. Probador virtual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Beneficiario / Operador  ·  Casos de uso: UC-17, UC-18, UC-19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10 — Probador virtual</w:t>
      </w:r>
    </w:p>
    <w:p>
      <w:pPr>
        <w:pStyle w:val="Heading1"/>
        <w:spacing w:after="200" w:before="400"/>
      </w:pPr>
      <w:r>
        <w:t xml:space="preserve">11. Turnos — Agenda del staff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UC-20, UC-21, UC-22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11 — Turnos — Agenda del staff</w:t>
      </w:r>
    </w:p>
    <w:p>
      <w:pPr>
        <w:pStyle w:val="Heading1"/>
        <w:spacing w:after="200" w:before="400"/>
      </w:pPr>
      <w:r>
        <w:t xml:space="preserve">12. Autogestión — Mis turnos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Beneficiario  ·  Casos de uso: UC-20, UC-20b, UC-21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12 — Autogestión — Mis turnos</w:t>
      </w:r>
    </w:p>
    <w:p>
      <w:pPr>
        <w:pStyle w:val="Heading1"/>
        <w:spacing w:after="200" w:before="400"/>
      </w:pPr>
      <w:r>
        <w:t xml:space="preserve">13. Logística — Envíos entre sucursales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UC-23, UC-24, UC-25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13 — Logística — Envíos entre sucursales</w:t>
      </w:r>
    </w:p>
    <w:p>
      <w:pPr>
        <w:pStyle w:val="Heading1"/>
        <w:spacing w:after="200" w:before="400"/>
      </w:pPr>
      <w:r>
        <w:t xml:space="preserve">14. Panel de indicadores de impacto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Administrador  ·  Casos de uso: UC-26, UC-27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14 — Panel de indicadores de impacto</w:t>
      </w:r>
    </w:p>
    <w:p>
      <w:pPr>
        <w:pStyle w:val="Heading1"/>
        <w:spacing w:after="200" w:before="400"/>
      </w:pPr>
      <w:r>
        <w:t xml:space="preserve">15. Catálogo público de anteojos de sol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Comprador  ·  Casos de uso: UC-28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15 — Catálogo público de anteojos de sol</w:t>
      </w:r>
    </w:p>
    <w:p>
      <w:pPr>
        <w:pStyle w:val="Heading1"/>
        <w:spacing w:after="200" w:before="400"/>
      </w:pPr>
      <w:r>
        <w:t xml:space="preserve">16. Catálogo — Gestión de stock y ventas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Administrador  ·  Casos de uso: UC-29, UC-30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16 — Catálogo — Gestión de stock y ventas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Mockups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60846e7a3c857737a8fc19745d4354f718b371.png"/><Relationship Id="rId10" Type="http://schemas.openxmlformats.org/officeDocument/2006/relationships/image" Target="media/4e4d16d2c08744dd178fdbd0ce87068d48b34d1f.png"/><Relationship Id="rId11" Type="http://schemas.openxmlformats.org/officeDocument/2006/relationships/image" Target="media/c523ea3cd5099b258291897bdab0f3ae92e696bc.png"/><Relationship Id="rId12" Type="http://schemas.openxmlformats.org/officeDocument/2006/relationships/image" Target="media/4aa89e63ceab8813777720ff4170665da2c3e450.png"/><Relationship Id="rId13" Type="http://schemas.openxmlformats.org/officeDocument/2006/relationships/image" Target="media/7f1d8b304ef95eb3136da9ac0186a434ffa59f67.png"/><Relationship Id="rId14" Type="http://schemas.openxmlformats.org/officeDocument/2006/relationships/image" Target="media/6521fec58b96f5be88da1489bdd92b3a47709c9b.png"/><Relationship Id="rId15" Type="http://schemas.openxmlformats.org/officeDocument/2006/relationships/image" Target="media/c22e47ae8d8b56fbe0277e06e70424f5dbb40a5f.png"/><Relationship Id="rId16" Type="http://schemas.openxmlformats.org/officeDocument/2006/relationships/image" Target="media/a5d7396ad83d9b95014c3a628dbbc2cff68a8705.png"/><Relationship Id="rId17" Type="http://schemas.openxmlformats.org/officeDocument/2006/relationships/image" Target="media/8421df4e1b3f360421932da22893844483438358.png"/><Relationship Id="rId18" Type="http://schemas.openxmlformats.org/officeDocument/2006/relationships/image" Target="media/0393a7550e426e29ca485327597b2b72580c9fb1.png"/><Relationship Id="rId19" Type="http://schemas.openxmlformats.org/officeDocument/2006/relationships/image" Target="media/a7a1d05a2ca434d2ec4286cf63f1f254c7de4a7d.png"/><Relationship Id="rId20" Type="http://schemas.openxmlformats.org/officeDocument/2006/relationships/image" Target="media/2cb58c72c1b24402b450f6ad19e92c1c293d6fc5.png"/><Relationship Id="rId21" Type="http://schemas.openxmlformats.org/officeDocument/2006/relationships/image" Target="media/3566a0f842162693f3af0bbf81e7422159718fa3.png"/><Relationship Id="rId22" Type="http://schemas.openxmlformats.org/officeDocument/2006/relationships/image" Target="media/72dbae37b095d037cec25661e802b7083d5f5017.png"/><Relationship Id="rId23" Type="http://schemas.openxmlformats.org/officeDocument/2006/relationships/image" Target="media/5d7abb54bbe3810980882b0b030e7709ab2e0a50.png"/><Relationship Id="rId24" Type="http://schemas.openxmlformats.org/officeDocument/2006/relationships/image" Target="media/5795c113615b60c3c6fa75a25e44e4b6ed810f7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2026-09-19T16:37:02.273Z</dcterms:created>
  <dcterms:modified xsi:type="dcterms:W3CDTF">2026-09-19T16:37:02.273Z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