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pStyle w:val="Heading1"/>
        <w:spacing w:after="180" w:before="420"/>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r>
        <w:br w:type="page"/>
      </w:r>
    </w:p>
    <w:p>
      <w:pPr>
        <w:spacing w:after="120"/>
      </w:pPr>
      <w:r>
        <w:t xml:space="preserve">Cada caso de uso real concreta uno o más casos de uso esenciales del Modelo de Casos de Uso contra una pantalla real de los Mockups: reúne los datos del caso (actores, propósito, resumen, tipo, referencias cruzadas, pre/postcondiciones), la captura de la pantalla con sus elementos interactivos marcados con una letra, y el diálogo actor↔sistema referenciando esas letras.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email y contraseña; el sistema los valida contra la base y, si son correctos, emite un JWT y redirige al panel correspondiente a su rol (Operador/Administrador o portal de autogestión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almacenado en el cliente para las siguientes requests.</w:t>
            </w:r>
          </w:p>
        </w:tc>
      </w:tr>
    </w:tbl>
    <w:p>
      <w:pPr>
        <w:spacing w:after="120"/>
      </w:pPr>
    </w:p>
    <w:p>
      <w:pPr>
        <w:spacing w:after="160"/>
      </w:pPr>
      <w:r>
        <w:rPr>
          <w:i/>
          <w:iCs/>
          <w:color w:val="555555"/>
          <w:sz w:val="20"/>
          <w:szCs w:val="20"/>
        </w:rPr>
        <w:t xml:space="preserve">Pantalla: Inicio de sesión (Figura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el campo Email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el campo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Ingresar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 la pantalla de inicio correspondiente a su rol.</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el enlace "¿Sos beneficiario? Registrate para pedir tu turno"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(RF-20).</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3a. Credenciales inválidas: el sistema muestra el mensaje de error devuelto por la API sin redirigir, sin indicar si falló el email o la contraseña.</w:t>
      </w:r>
    </w:p>
    <w:p>
      <w:pPr>
        <w:spacing w:after="200"/>
      </w:pPr>
    </w:p>
    <w:p>
      <w:pPr>
        <w:pStyle w:val="Heading1"/>
        <w:spacing w:after="180" w:before="420"/>
      </w:pPr>
      <w:r>
        <w:t xml:space="preserve">RU-02 — Gestionar solicitantes (listar y buscar)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Gestionar solicitantes (listar y buscar)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de solicitantes con su estado de identidad y de ANSES, lo filtra por DNI/nombre o estado, y navega al detalle de uno (RU-03) o al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visualiza o navega al solicitante elegido.</w:t>
            </w:r>
          </w:p>
        </w:tc>
      </w:tr>
    </w:tbl>
    <w:p>
      <w:pPr>
        <w:spacing w:after="120"/>
      </w:pPr>
    </w:p>
    <w:p>
      <w:pPr>
        <w:spacing w:after="160"/>
      </w:pPr>
      <w:r>
        <w:rPr>
          <w:i/>
          <w:iCs/>
          <w:color w:val="555555"/>
          <w:sz w:val="20"/>
          <w:szCs w:val="20"/>
        </w:rPr>
        <w:t xml:space="preserve">Pantalla: Solicitantes — Listado (Figura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 lateral.</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(D) con Nombre, DNI, estado de Identidad, estado de ANSES y fecha de última receta.</w:t>
            </w:r>
          </w:p>
        </w:tc>
      </w:tr>
      <w:tr>
        <w:tc>
          <w:tcPr>
            <w:tcW w:type="dxa" w:w="5040"/>
            <w:tcMar>
              <w:top w:type="dxa" w:w="60"/>
              <w:left w:type="dxa" w:w="80"/>
              <w:bottom w:type="dxa" w:w="60"/>
              <w:right w:type="dxa" w:w="80"/>
            </w:tcMar>
            <w:vAlign w:val="center"/>
          </w:tcPr>
          <w:p>
            <w:r>
              <w:rPr>
                <w:b w:val="false"/>
                <w:bCs w:val="false"/>
                <w:sz w:val="17"/>
                <w:szCs w:val="17"/>
              </w:rPr>
              <w:t xml:space="preserve">3. El operador escribe en Buscar por DNI o nombre… (A) o elige un estado en el selector (B).</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 Identidad (E) y de ANSES (F) de un solicitante en la fila.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(G) sobre una fila.</w:t>
            </w:r>
          </w:p>
        </w:tc>
        <w:tc>
          <w:tcPr>
            <w:tcW w:type="dxa" w:w="5040"/>
            <w:tcMar>
              <w:top w:type="dxa" w:w="60"/>
              <w:left w:type="dxa" w:w="80"/>
              <w:bottom w:type="dxa" w:w="60"/>
              <w:right w:type="dxa" w:w="80"/>
            </w:tcMar>
            <w:vAlign w:val="center"/>
          </w:tcPr>
          <w:p>
            <w:r>
              <w:rPr>
                <w:b w:val="false"/>
                <w:bCs w:val="false"/>
                <w:sz w:val="17"/>
                <w:szCs w:val="17"/>
              </w:rPr>
              <w:t xml:space="preserve">7. El sistema navega al detalle del solicitante (RU-03).</w:t>
            </w:r>
          </w:p>
        </w:tc>
      </w:tr>
      <w:tr>
        <w:tc>
          <w:tcPr>
            <w:tcW w:type="dxa" w:w="5040"/>
            <w:tcMar>
              <w:top w:type="dxa" w:w="60"/>
              <w:left w:type="dxa" w:w="80"/>
              <w:bottom w:type="dxa" w:w="60"/>
              <w:right w:type="dxa" w:w="80"/>
            </w:tcMar>
            <w:vAlign w:val="center"/>
          </w:tcPr>
          <w:p>
            <w:r>
              <w:rPr>
                <w:b w:val="false"/>
                <w:bCs w:val="false"/>
                <w:sz w:val="17"/>
                <w:szCs w:val="17"/>
              </w:rPr>
              <w:t xml:space="preserve">8. (Alternativa) Hace clic en + Nuevo solicitante (C).</w:t>
            </w:r>
          </w:p>
        </w:tc>
        <w:tc>
          <w:tcPr>
            <w:tcW w:type="dxa" w:w="5040"/>
            <w:tcMar>
              <w:top w:type="dxa" w:w="60"/>
              <w:left w:type="dxa" w:w="80"/>
              <w:bottom w:type="dxa" w:w="60"/>
              <w:right w:type="dxa" w:w="80"/>
            </w:tcMar>
            <w:vAlign w:val="center"/>
          </w:tcPr>
          <w:p>
            <w:r>
              <w:rPr>
                <w:b w:val="false"/>
                <w:bCs w:val="false"/>
                <w:sz w:val="17"/>
                <w:szCs w:val="17"/>
              </w:rPr>
              <w:t xml:space="preserve">9. El sistema abre el formulario de datos personales de RU-03, vacío.</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4a. Sin resultados: la tabla muestra un estado vacío con el texto de búsqueda aplicado.</w:t>
      </w:r>
    </w:p>
    <w:p>
      <w:pPr>
        <w:spacing w:after="200"/>
      </w:pPr>
    </w:p>
    <w:p>
      <w:pPr>
        <w:pStyle w:val="Heading1"/>
        <w:spacing w:after="180" w:before="420"/>
      </w:pPr>
      <w:r>
        <w:t xml:space="preserve">RU-03 — Alta, edición y validación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Alta, edición y validación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RENAPER (SID)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y mantener los datos de elegibilidad de un beneficiario: identidad, certificación negativa de ANSES y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carga o edita los datos personales del solicitante, dispara la validación de identidad contra RENAPER (o la registra manualmente si el servicio no responde), carga el PDF de certificación negativa de ANSES para su verificación automática de CUIL y vigencia, y registra la receta médica que luego se usa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RF-02, RF-03, RF-04, RF-05, RF-06, RF-07, RF-08; RNF-02 (Protección de datos personales)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RU-02, "+ Nuevo solicitante") o existente (desde RU-02, "Ver").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solicitante queda con sus datos, estado de validación y receta actualizados, disponible para el match de asignación (RU-06).</w:t>
            </w:r>
          </w:p>
        </w:tc>
      </w:tr>
    </w:tbl>
    <w:p>
      <w:pPr>
        <w:spacing w:after="120"/>
      </w:pPr>
    </w:p>
    <w:p>
      <w:pPr>
        <w:spacing w:after="160"/>
      </w:pPr>
      <w:r>
        <w:rPr>
          <w:i/>
          <w:iCs/>
          <w:color w:val="555555"/>
          <w:sz w:val="20"/>
          <w:szCs w:val="20"/>
        </w:rPr>
        <w:t xml:space="preserve">Pantalla: Solicitantes — Detalle (Figura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 Nombre (A), Apellido (B), DNI (C), Fecha de nacimiento (D) y Teléfono (E) en la tarjeta "Datos personales".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el solicitante y deshabilita el campo DNI para ediciones futuras (es la identidad contra la que se valida RENAPER).</w:t>
            </w:r>
          </w:p>
        </w:tc>
      </w:tr>
      <w:tr>
        <w:tc>
          <w:tcPr>
            <w:tcW w:type="dxa" w:w="5040"/>
            <w:tcMar>
              <w:top w:type="dxa" w:w="60"/>
              <w:left w:type="dxa" w:w="80"/>
              <w:bottom w:type="dxa" w:w="60"/>
              <w:right w:type="dxa" w:w="80"/>
            </w:tcMar>
            <w:vAlign w:val="center"/>
          </w:tcPr>
          <w:p>
            <w:r>
              <w:rPr>
                <w:b w:val="false"/>
                <w:bCs w:val="false"/>
                <w:sz w:val="17"/>
                <w:szCs w:val="17"/>
              </w:rPr>
              <w:t xml:space="preserve">4. En "Validación de identidad", el operador hace clic en Reintentar validación RENAPER (H).</w:t>
            </w:r>
          </w:p>
        </w:tc>
        <w:tc>
          <w:tcPr>
            <w:tcW w:type="dxa" w:w="5040"/>
            <w:tcMar>
              <w:top w:type="dxa" w:w="60"/>
              <w:left w:type="dxa" w:w="80"/>
              <w:bottom w:type="dxa" w:w="60"/>
              <w:right w:type="dxa" w:w="80"/>
            </w:tcMar>
            <w:vAlign w:val="center"/>
          </w:tcPr>
          <w:p>
            <w:r>
              <w:rPr>
                <w:b w:val="false"/>
                <w:bCs w:val="false"/>
                <w:sz w:val="17"/>
                <w:szCs w:val="17"/>
              </w:rPr>
              <w:t xml:space="preserve">5. El sistema consulta el SID de RENAPER y actualiza el badge de estado (G) a "Validada por RENAPER".</w:t>
            </w:r>
          </w:p>
        </w:tc>
      </w:tr>
      <w:tr>
        <w:tc>
          <w:tcPr>
            <w:tcW w:type="dxa" w:w="5040"/>
            <w:tcMar>
              <w:top w:type="dxa" w:w="60"/>
              <w:left w:type="dxa" w:w="80"/>
              <w:bottom w:type="dxa" w:w="60"/>
              <w:right w:type="dxa" w:w="80"/>
            </w:tcMar>
            <w:vAlign w:val="center"/>
          </w:tcPr>
          <w:p>
            <w:r>
              <w:rPr>
                <w:b w:val="false"/>
                <w:bCs w:val="false"/>
                <w:sz w:val="17"/>
                <w:szCs w:val="17"/>
              </w:rPr>
              <w:t xml:space="preserve">6. (Alternativa) Si RENAPER no está disponible, hace clic en Validar presencialmente (DNI físico) (I) y confirma que verificó el documento en persona.</w:t>
            </w:r>
          </w:p>
        </w:tc>
        <w:tc>
          <w:tcPr>
            <w:tcW w:type="dxa" w:w="5040"/>
            <w:tcMar>
              <w:top w:type="dxa" w:w="60"/>
              <w:left w:type="dxa" w:w="80"/>
              <w:bottom w:type="dxa" w:w="60"/>
              <w:right w:type="dxa" w:w="80"/>
            </w:tcMar>
            <w:vAlign w:val="center"/>
          </w:tcPr>
          <w:p>
            <w:r>
              <w:rPr>
                <w:b w:val="false"/>
                <w:bCs w:val="false"/>
                <w:sz w:val="17"/>
                <w:szCs w:val="17"/>
              </w:rPr>
              <w:t xml:space="preserve">7. El sistema registra la validación manual; el badge (G) pasa a "Manual (presencial)".</w:t>
            </w:r>
          </w:p>
        </w:tc>
      </w:tr>
      <w:tr>
        <w:tc>
          <w:tcPr>
            <w:tcW w:type="dxa" w:w="5040"/>
            <w:tcMar>
              <w:top w:type="dxa" w:w="60"/>
              <w:left w:type="dxa" w:w="80"/>
              <w:bottom w:type="dxa" w:w="60"/>
              <w:right w:type="dxa" w:w="80"/>
            </w:tcMar>
            <w:vAlign w:val="center"/>
          </w:tcPr>
          <w:p>
            <w:r>
              <w:rPr>
                <w:b w:val="false"/>
                <w:bCs w:val="false"/>
                <w:sz w:val="17"/>
                <w:szCs w:val="17"/>
              </w:rPr>
              <w:t xml:space="preserve">8. En "Certificación Negativa de ANSES", el operador hace clic en Reemplazar PDF (L) —o el botón equivalente de subida, si es la primera carga— y selecciona el archivo (J).</w:t>
            </w:r>
          </w:p>
        </w:tc>
        <w:tc>
          <w:tcPr>
            <w:tcW w:type="dxa" w:w="5040"/>
            <w:tcMar>
              <w:top w:type="dxa" w:w="60"/>
              <w:left w:type="dxa" w:w="80"/>
              <w:bottom w:type="dxa" w:w="60"/>
              <w:right w:type="dxa" w:w="80"/>
            </w:tcMar>
            <w:vAlign w:val="center"/>
          </w:tcPr>
          <w:p>
            <w:r>
              <w:rPr>
                <w:b w:val="false"/>
                <w:bCs w:val="false"/>
                <w:sz w:val="17"/>
                <w:szCs w:val="17"/>
              </w:rPr>
              <w:t xml:space="preserve">9. El sistema decodifica el código de barras y muestra el CUIL detectado (K) con el badge "coincide"/"no coincide" y la fecha de emisión con el badge "vigente (≤30 días)"/"vencido". Ninguno de los dos bloquea el guardado: quedan a criterio del operador.</w:t>
            </w:r>
          </w:p>
        </w:tc>
      </w:tr>
      <w:tr>
        <w:tc>
          <w:tcPr>
            <w:tcW w:type="dxa" w:w="5040"/>
            <w:tcMar>
              <w:top w:type="dxa" w:w="60"/>
              <w:left w:type="dxa" w:w="80"/>
              <w:bottom w:type="dxa" w:w="60"/>
              <w:right w:type="dxa" w:w="80"/>
            </w:tcMar>
            <w:vAlign w:val="center"/>
          </w:tcPr>
          <w:p>
            <w:r>
              <w:rPr>
                <w:b w:val="false"/>
                <w:bCs w:val="false"/>
                <w:sz w:val="17"/>
                <w:szCs w:val="17"/>
              </w:rPr>
              <w:t xml:space="preserve">10. En "Receta médica", el operador hace clic en + Nueva receta (N) y carga Esfera, Cilindro y Eje para OD y OI.</w:t>
            </w:r>
          </w:p>
        </w:tc>
        <w:tc>
          <w:tcPr>
            <w:tcW w:type="dxa" w:w="5040"/>
            <w:tcMar>
              <w:top w:type="dxa" w:w="60"/>
              <w:left w:type="dxa" w:w="80"/>
              <w:bottom w:type="dxa" w:w="60"/>
              <w:right w:type="dxa" w:w="80"/>
            </w:tcMar>
            <w:vAlign w:val="center"/>
          </w:tcPr>
          <w:p>
            <w:r>
              <w:rPr>
                <w:b w:val="false"/>
                <w:bCs w:val="false"/>
                <w:sz w:val="17"/>
                <w:szCs w:val="17"/>
              </w:rPr>
              <w:t xml:space="preserve">11. El sistema agrega la fila a la tabla de recetas (M).</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DNI duplicado: el sistema rechaza el alta con un mensaje de error.</w:t>
      </w:r>
    </w:p>
    <w:p>
      <w:pPr>
        <w:pStyle w:val="ListParagraph"/>
        <w:numPr>
          <w:ilvl w:val="0"/>
          <w:numId w:val="1"/>
        </w:numPr>
        <w:spacing w:after="70"/>
      </w:pPr>
      <w:r>
        <w:t xml:space="preserve">9a. PDF de ANSES no legible / código de barras no encontrado: el sistema informa el error y no completa el CUIL ni la fecha detectados; el operador puede reintentar la carga.</w:t>
      </w:r>
    </w:p>
    <w:p>
      <w:pPr>
        <w:spacing w:after="200"/>
      </w:pPr>
    </w:p>
    <w:p>
      <w:pPr>
        <w:pStyle w:val="Heading1"/>
        <w:spacing w:after="180" w:before="420"/>
      </w:pPr>
      <w:r>
        <w:t xml:space="preserve">RU-04 — Registrar donante y recepción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Registrar donante y recepción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abre una nueva recepción y carga cada marco recibido (precinto, tipo, material, medidas); al confirmar, el sistema crea los marcos en estado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(RU-05), vinculados al donante.</w:t>
            </w:r>
          </w:p>
        </w:tc>
      </w:tr>
    </w:tbl>
    <w:p>
      <w:pPr>
        <w:spacing w:after="120"/>
      </w:pPr>
    </w:p>
    <w:p>
      <w:pPr>
        <w:spacing w:after="160"/>
      </w:pPr>
      <w:r>
        <w:rPr>
          <w:i/>
          <w:iCs/>
          <w:color w:val="555555"/>
          <w:sz w:val="20"/>
          <w:szCs w:val="20"/>
        </w:rPr>
        <w:t xml:space="preserve">Pantalla: Donantes — Listado (Figura 5) y Registrar recepción de marcos (Figura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donante… (A) en el listado.</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donantes (C) en vivo.</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Nuevo donante (B) y carga Nombre / Entidad y Teléfono de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(D) sobre un donante y abre "Nueva recepción".</w:t>
            </w:r>
          </w:p>
        </w:tc>
        <w:tc>
          <w:tcPr>
            <w:tcW w:type="dxa" w:w="5040"/>
            <w:tcMar>
              <w:top w:type="dxa" w:w="60"/>
              <w:left w:type="dxa" w:w="80"/>
              <w:bottom w:type="dxa" w:w="60"/>
              <w:right w:type="dxa" w:w="80"/>
            </w:tcMar>
            <w:vAlign w:val="center"/>
          </w:tcPr>
          <w:p>
            <w:r>
              <w:rPr>
                <w:b w:val="false"/>
                <w:bCs w:val="false"/>
                <w:sz w:val="17"/>
                <w:szCs w:val="17"/>
              </w:rPr>
              <w:t xml:space="preserve">5. El sistema muestra el formulario de recepción con Nombre / Entidad (A) y Teléfono de contacto (B) precargados.</w:t>
            </w:r>
          </w:p>
        </w:tc>
      </w:tr>
      <w:tr>
        <w:tc>
          <w:tcPr>
            <w:tcW w:type="dxa" w:w="5040"/>
            <w:tcMar>
              <w:top w:type="dxa" w:w="60"/>
              <w:left w:type="dxa" w:w="80"/>
              <w:bottom w:type="dxa" w:w="60"/>
              <w:right w:type="dxa" w:w="80"/>
            </w:tcMar>
            <w:vAlign w:val="center"/>
          </w:tcPr>
          <w:p>
            <w:r>
              <w:rPr>
                <w:b w:val="false"/>
                <w:bCs w:val="false"/>
                <w:sz w:val="17"/>
                <w:szCs w:val="17"/>
              </w:rPr>
              <w:t xml:space="preserve">6. Por cada marco recibido, hace clic en + Agregar marco (D) y completa Precinto, Tipo, Material y Medidas en la tabla (C) —el precinto es el identificador único que no se repite.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7. Hace clic en Confirmar recepción (E).</w:t>
            </w:r>
          </w:p>
        </w:tc>
        <w:tc>
          <w:tcPr>
            <w:tcW w:type="dxa" w:w="5040"/>
            <w:tcMar>
              <w:top w:type="dxa" w:w="60"/>
              <w:left w:type="dxa" w:w="80"/>
              <w:bottom w:type="dxa" w:w="60"/>
              <w:right w:type="dxa" w:w="80"/>
            </w:tcMar>
            <w:vAlign w:val="center"/>
          </w:tcPr>
          <w:p>
            <w:r>
              <w:rPr>
                <w:b w:val="false"/>
                <w:bCs w:val="false"/>
                <w:sz w:val="17"/>
                <w:szCs w:val="17"/>
              </w:rPr>
              <w:t xml:space="preserve">8. El sistema crea cada marco en estado AVAILABLE.</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7a. Precinto duplicado: el sistema rechaza la fila con ese precinto y pide corregirlo antes de confirmar.</w:t>
      </w:r>
    </w:p>
    <w:p>
      <w:pPr>
        <w:spacing w:after="200"/>
      </w:pPr>
    </w:p>
    <w:p>
      <w:pPr>
        <w:pStyle w:val="Heading1"/>
        <w:spacing w:after="180" w:before="420"/>
      </w:pPr>
      <w:r>
        <w:t xml:space="preserve">RU-05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disponible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con su estado (disponible, asignado, en óptica, descartado), la filtra por precinto o estado, y accede al detalle de un marco o carga uno nuevo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(RU-06).</w:t>
            </w:r>
          </w:p>
        </w:tc>
      </w:tr>
    </w:tbl>
    <w:p>
      <w:pPr>
        <w:spacing w:after="120"/>
      </w:pPr>
    </w:p>
    <w:p>
      <w:pPr>
        <w:spacing w:after="160"/>
      </w:pPr>
      <w:r>
        <w:rPr>
          <w:i/>
          <w:iCs/>
          <w:color w:val="555555"/>
          <w:sz w:val="20"/>
          <w:szCs w:val="20"/>
        </w:rPr>
        <w:t xml:space="preserve">Pantalla: Inventario de marcos (Figura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"Marcos / Inventario".</w:t>
            </w:r>
          </w:p>
        </w:tc>
        <w:tc>
          <w:tcPr>
            <w:tcW w:type="dxa" w:w="5040"/>
            <w:tcMar>
              <w:top w:type="dxa" w:w="60"/>
              <w:left w:type="dxa" w:w="80"/>
              <w:bottom w:type="dxa" w:w="60"/>
              <w:right w:type="dxa" w:w="80"/>
            </w:tcMar>
            <w:vAlign w:val="center"/>
          </w:tcPr>
          <w:p>
            <w:r>
              <w:rPr>
                <w:b w:val="false"/>
                <w:bCs w:val="false"/>
                <w:sz w:val="17"/>
                <w:szCs w:val="17"/>
              </w:rPr>
              <w:t xml:space="preserve">2. El sistema lista los marcos (D) con Precinto, Tipo, Material, Medidas y Estado (E, badge: Disponible/Asignado/En óptica/Descartado).</w:t>
            </w:r>
          </w:p>
        </w:tc>
      </w:tr>
      <w:tr>
        <w:tc>
          <w:tcPr>
            <w:tcW w:type="dxa" w:w="5040"/>
            <w:tcMar>
              <w:top w:type="dxa" w:w="60"/>
              <w:left w:type="dxa" w:w="80"/>
              <w:bottom w:type="dxa" w:w="60"/>
              <w:right w:type="dxa" w:w="80"/>
            </w:tcMar>
            <w:vAlign w:val="center"/>
          </w:tcPr>
          <w:p>
            <w:r>
              <w:rPr>
                <w:b w:val="false"/>
                <w:bCs w:val="false"/>
                <w:sz w:val="17"/>
                <w:szCs w:val="17"/>
              </w:rPr>
              <w:t xml:space="preserve">3. El operador filtra con Buscar por precinto… (A) o el selector de estado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(F) para el detalle de un marco.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 Cargar marco a mano (C) para dar de alta uno sin pasar por una recepción de donación.</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RU-06 — Asignar marco a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de entre los marcos disponibles, el más compatible con la receta del beneficiario y reservarlo para él.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ejecuta el algoritmo de match entre la receta del beneficiario y los marcos disponibles, ordenándolos por compatibilidad; el operador confirma la asignación sobre el marco elegido y el sistema lo descuenta del inventario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(Algoritmo de match receta↔marco), RF-15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(RU-07); el marco queda ASSIGNED.</w:t>
            </w:r>
          </w:p>
        </w:tc>
      </w:tr>
    </w:tbl>
    <w:p>
      <w:pPr>
        <w:spacing w:after="120"/>
      </w:pPr>
    </w:p>
    <w:p>
      <w:pPr>
        <w:spacing w:after="160"/>
      </w:pPr>
      <w:r>
        <w:rPr>
          <w:i/>
          <w:iCs/>
          <w:color w:val="555555"/>
          <w:sz w:val="20"/>
          <w:szCs w:val="20"/>
        </w:rPr>
        <w:t xml:space="preserve">Pantalla: Asignación — Match y asignar marco (Figura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"Asignaciones / Nueva asignación" para el beneficiario.</w:t>
            </w:r>
          </w:p>
        </w:tc>
        <w:tc>
          <w:tcPr>
            <w:tcW w:type="dxa" w:w="5040"/>
            <w:tcMar>
              <w:top w:type="dxa" w:w="60"/>
              <w:left w:type="dxa" w:w="80"/>
              <w:bottom w:type="dxa" w:w="60"/>
              <w:right w:type="dxa" w:w="80"/>
            </w:tcMar>
            <w:vAlign w:val="center"/>
          </w:tcPr>
          <w:p>
            <w:r>
              <w:rPr>
                <w:b w:val="false"/>
                <w:bCs w:val="false"/>
                <w:sz w:val="17"/>
                <w:szCs w:val="17"/>
              </w:rPr>
              <w:t xml:space="preserve">2. El sistema muestra la receta del beneficiario (A) —Esfera, Cilindro y Eje por ojo— y ejecuta el match, listando los marcos candidatos (B) ordenados por compatibilidad (C, badge Alta/Media).</w:t>
            </w:r>
          </w:p>
        </w:tc>
      </w:tr>
      <w:tr>
        <w:tc>
          <w:tcPr>
            <w:tcW w:type="dxa" w:w="5040"/>
            <w:tcMar>
              <w:top w:type="dxa" w:w="60"/>
              <w:left w:type="dxa" w:w="80"/>
              <w:bottom w:type="dxa" w:w="60"/>
              <w:right w:type="dxa" w:w="80"/>
            </w:tcMar>
            <w:vAlign w:val="center"/>
          </w:tcPr>
          <w:p>
            <w:r>
              <w:rPr>
                <w:b w:val="false"/>
                <w:bCs w:val="false"/>
                <w:sz w:val="17"/>
                <w:szCs w:val="17"/>
              </w:rPr>
              <w:t xml:space="preserve">3. El operador hace clic en Asignar (D) sobre el marco elegido.</w:t>
            </w:r>
          </w:p>
        </w:tc>
        <w:tc>
          <w:tcPr>
            <w:tcW w:type="dxa" w:w="5040"/>
            <w:tcMar>
              <w:top w:type="dxa" w:w="60"/>
              <w:left w:type="dxa" w:w="80"/>
              <w:bottom w:type="dxa" w:w="60"/>
              <w:right w:type="dxa" w:w="80"/>
            </w:tcMar>
            <w:vAlign w:val="center"/>
          </w:tcPr>
          <w:p>
            <w:r>
              <w:rPr>
                <w:b w:val="false"/>
                <w:bCs w:val="false"/>
                <w:sz w:val="17"/>
                <w:szCs w:val="17"/>
              </w:rPr>
              <w:t xml:space="preserve">4. El sistema crea la asignación y descuenta el marco del inventario disponible (queda ASSIGNED).</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Sin marcos compatibles: la lista aparece vacía; el operador puede volver más adelante cuando ingrese una donación compatible.</w:t>
      </w:r>
    </w:p>
    <w:p>
      <w:pPr>
        <w:pStyle w:val="ListParagraph"/>
        <w:numPr>
          <w:ilvl w:val="0"/>
          <w:numId w:val="1"/>
        </w:numPr>
        <w:spacing w:after="70"/>
      </w:pPr>
      <w:r>
        <w:t xml:space="preserve">4a. El marco elegido dejó de estar disponible (otro operador lo asignó primero): el sistema rechaza la asignación con un mensaje y refresca la lista.</w:t>
      </w:r>
    </w:p>
    <w:p>
      <w:pPr>
        <w:spacing w:after="200"/>
      </w:pPr>
    </w:p>
    <w:p>
      <w:pPr>
        <w:pStyle w:val="Heading1"/>
        <w:spacing w:after="180" w:before="420"/>
      </w:pPr>
      <w:r>
        <w:t xml:space="preserve">RU-07 — Consultar trazabilidad de la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Consultar trazabilidad de la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se encuentra un par de anteojos ya asignado.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la línea de tiempo completa de la asignación —marco asignado, enviado a óptica, retornado con cristales, entregado— con fecha y responsable de cada hito, y el estado actual.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Trazabilidad de la asignación (Figura 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abre la asignación desde su detalle.</w:t>
            </w:r>
          </w:p>
        </w:tc>
        <w:tc>
          <w:tcPr>
            <w:tcW w:type="dxa" w:w="5040"/>
            <w:tcMar>
              <w:top w:type="dxa" w:w="60"/>
              <w:left w:type="dxa" w:w="80"/>
              <w:bottom w:type="dxa" w:w="60"/>
              <w:right w:type="dxa" w:w="80"/>
            </w:tcMar>
            <w:vAlign w:val="center"/>
          </w:tcPr>
          <w:p>
            <w:r>
              <w:rPr>
                <w:b w:val="false"/>
                <w:bCs w:val="false"/>
                <w:sz w:val="17"/>
                <w:szCs w:val="17"/>
              </w:rPr>
              <w:t xml:space="preserve">2. El sistema muestra la línea de tiempo (A): asignado → enviado a óptica → retornado con cristales → entregado, cada uno con fecha y responsable, y el estado actual como badge (B, p. ej. "Entregado").</w:t>
            </w:r>
          </w:p>
        </w:tc>
      </w:tr>
    </w:tbl>
    <w:p>
      <w:pPr>
        <w:spacing w:after="200"/>
      </w:pPr>
    </w:p>
    <w:p>
      <w:pPr>
        <w:pStyle w:val="Heading1"/>
        <w:spacing w:after="180" w:before="420"/>
      </w:pPr>
      <w:r>
        <w:t xml:space="preserve">RU-08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distintos marcos al beneficiario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estática; MediaPipe Face Mesh detecta el rostro y el sistema superpone en 2D el marco elegido de la grilla de disponibles, permitiendo ajustar manualmente rotación y altura.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del probador virtual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 (Figura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Tomar / subir foto (B).</w:t>
            </w:r>
          </w:p>
        </w:tc>
        <w:tc>
          <w:tcPr>
            <w:tcW w:type="dxa" w:w="5040"/>
            <w:tcMar>
              <w:top w:type="dxa" w:w="60"/>
              <w:left w:type="dxa" w:w="80"/>
              <w:bottom w:type="dxa" w:w="60"/>
              <w:right w:type="dxa" w:w="80"/>
            </w:tcMar>
            <w:vAlign w:val="center"/>
          </w:tcPr>
          <w:p>
            <w:r>
              <w:rPr>
                <w:b w:val="false"/>
                <w:bCs w:val="false"/>
                <w:sz w:val="17"/>
                <w:szCs w:val="17"/>
              </w:rPr>
              <w:t xml:space="preserve">2. El sistema carga la foto en el recuadro (A) y MediaPipe Face Mesh detecta el rostro.</w:t>
            </w:r>
          </w:p>
        </w:tc>
      </w:tr>
      <w:tr>
        <w:tc>
          <w:tcPr>
            <w:tcW w:type="dxa" w:w="5040"/>
            <w:tcMar>
              <w:top w:type="dxa" w:w="60"/>
              <w:left w:type="dxa" w:w="80"/>
              <w:bottom w:type="dxa" w:w="60"/>
              <w:right w:type="dxa" w:w="80"/>
            </w:tcMar>
            <w:vAlign w:val="center"/>
          </w:tcPr>
          <w:p>
            <w:r>
              <w:rPr>
                <w:b w:val="false"/>
                <w:bCs w:val="false"/>
                <w:sz w:val="17"/>
                <w:szCs w:val="17"/>
              </w:rPr>
              <w:t xml:space="preserve">3. El usuario elige un marco de la grilla "Marcos disponibles para probar" (C).</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manual de Rotación (D) y Altura (E).</w:t>
            </w:r>
          </w:p>
        </w:tc>
      </w:tr>
      <w:tr>
        <w:tc>
          <w:tcPr>
            <w:tcW w:type="dxa" w:w="5040"/>
            <w:tcMar>
              <w:top w:type="dxa" w:w="60"/>
              <w:left w:type="dxa" w:w="80"/>
              <w:bottom w:type="dxa" w:w="60"/>
              <w:right w:type="dxa" w:w="80"/>
            </w:tcMar>
            <w:vAlign w:val="center"/>
          </w:tcPr>
          <w:p>
            <w:r>
              <w:rPr>
                <w:b w:val="false"/>
                <w:bCs w:val="false"/>
                <w:sz w:val="17"/>
                <w:szCs w:val="17"/>
              </w:rPr>
              <w:t xml:space="preserve">5. El usuario ajusta Rotación (D) y/o Altura (E) según lo necesite.</w:t>
            </w:r>
          </w:p>
        </w:tc>
        <w:tc>
          <w:tcPr>
            <w:tcW w:type="dxa" w:w="5040"/>
            <w:tcMar>
              <w:top w:type="dxa" w:w="60"/>
              <w:left w:type="dxa" w:w="80"/>
              <w:bottom w:type="dxa" w:w="60"/>
              <w:right w:type="dxa" w:w="80"/>
            </w:tcMar>
            <w:vAlign w:val="center"/>
          </w:tcPr>
          <w:p>
            <w:r>
              <w:rPr>
                <w:b w:val="false"/>
                <w:bCs w:val="false"/>
                <w:sz w:val="17"/>
                <w:szCs w:val="17"/>
              </w:rPr>
              <w:t xml:space="preserve">6. El sistema actualiza la superposición en tiempo real.</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MediaPipe no disponible (dispositivo o red): el sistema muestra un estado degradado ("probador virtual no disponible en este momento") sin romper el resto de la aplicación.</w:t>
      </w:r>
    </w:p>
    <w:p>
      <w:pPr>
        <w:pStyle w:val="ListParagraph"/>
        <w:numPr>
          <w:ilvl w:val="0"/>
          <w:numId w:val="1"/>
        </w:numPr>
        <w:spacing w:after="70"/>
      </w:pPr>
      <w:r>
        <w:t xml:space="preserve">2b. No se detecta rostro en la foto: el sistema pide subir otra foto.</w:t>
      </w:r>
    </w:p>
    <w:p>
      <w:pPr>
        <w:spacing w:after="200"/>
      </w:pPr>
    </w:p>
    <w:p>
      <w:pPr>
        <w:pStyle w:val="Heading1"/>
        <w:spacing w:after="180" w:before="420"/>
      </w:pPr>
      <w:r>
        <w:t xml:space="preserve">RU-09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reprogramar o cancelar turnos de entrega/retiro, y revisar los pagos pendientes de la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de turnos, busca por beneficiario, registra un turno nuevo o modifica uno existente (reprogramar/cancelar), y revisa el comprobante de un turno pendiente de pago generado por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 (Figura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por beneficiario… (A).</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turnos (C) en vivo, mostrando fecha, hora, beneficiario y estado (D, badge).</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Registrar turno (B) y carga fecha, hora y beneficiario.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Para un turno existente, hace clic en Reprogramar (E) y elige nueva fecha/hora.</w:t>
            </w:r>
          </w:p>
        </w:tc>
        <w:tc>
          <w:tcPr>
            <w:tcW w:type="dxa" w:w="5040"/>
            <w:tcMar>
              <w:top w:type="dxa" w:w="60"/>
              <w:left w:type="dxa" w:w="80"/>
              <w:bottom w:type="dxa" w:w="60"/>
              <w:right w:type="dxa" w:w="80"/>
            </w:tcMar>
            <w:vAlign w:val="center"/>
          </w:tcPr>
          <w:p>
            <w:r>
              <w:rPr>
                <w:b w:val="false"/>
                <w:bCs w:val="false"/>
                <w:sz w:val="17"/>
                <w:szCs w:val="17"/>
              </w:rPr>
              <w:t xml:space="preserve">5. El sistema actualiza el turno, que permanece SCHEDULED.</w:t>
            </w:r>
          </w:p>
        </w:tc>
      </w:tr>
      <w:tr>
        <w:tc>
          <w:tcPr>
            <w:tcW w:type="dxa" w:w="5040"/>
            <w:tcMar>
              <w:top w:type="dxa" w:w="60"/>
              <w:left w:type="dxa" w:w="80"/>
              <w:bottom w:type="dxa" w:w="60"/>
              <w:right w:type="dxa" w:w="80"/>
            </w:tcMar>
            <w:vAlign w:val="center"/>
          </w:tcPr>
          <w:p>
            <w:r>
              <w:rPr>
                <w:b w:val="false"/>
                <w:bCs w:val="false"/>
                <w:sz w:val="17"/>
                <w:szCs w:val="17"/>
              </w:rPr>
              <w:t xml:space="preserve">6. (Alternativa) Hace clic en Cancelar (F) y confirma el motivo.</w:t>
            </w:r>
          </w:p>
        </w:tc>
        <w:tc>
          <w:tcPr>
            <w:tcW w:type="dxa" w:w="5040"/>
            <w:tcMar>
              <w:top w:type="dxa" w:w="60"/>
              <w:left w:type="dxa" w:w="80"/>
              <w:bottom w:type="dxa" w:w="60"/>
              <w:right w:type="dxa" w:w="80"/>
            </w:tcMar>
            <w:vAlign w:val="center"/>
          </w:tcPr>
          <w:p>
            <w:r>
              <w:rPr>
                <w:b w:val="false"/>
                <w:bCs w:val="false"/>
                <w:sz w:val="17"/>
                <w:szCs w:val="17"/>
              </w:rPr>
              <w:t xml:space="preserve">7. El sistema pasa el turno a CANCELLED.</w:t>
            </w:r>
          </w:p>
        </w:tc>
      </w:tr>
      <w:tr>
        <w:tc>
          <w:tcPr>
            <w:tcW w:type="dxa" w:w="5040"/>
            <w:tcMar>
              <w:top w:type="dxa" w:w="60"/>
              <w:left w:type="dxa" w:w="80"/>
              <w:bottom w:type="dxa" w:w="60"/>
              <w:right w:type="dxa" w:w="80"/>
            </w:tcMar>
            <w:vAlign w:val="center"/>
          </w:tcPr>
          <w:p>
            <w:r>
              <w:rPr>
                <w:b w:val="false"/>
                <w:bCs w:val="false"/>
                <w:sz w:val="17"/>
                <w:szCs w:val="17"/>
              </w:rPr>
              <w:t xml:space="preserve">8. Si el turno está "Pendiente de pago" (D, autogestión), el operador hace clic en Ver comprobante (G).</w:t>
            </w:r>
          </w:p>
        </w:tc>
        <w:tc>
          <w:tcPr>
            <w:tcW w:type="dxa" w:w="5040"/>
            <w:tcMar>
              <w:top w:type="dxa" w:w="60"/>
              <w:left w:type="dxa" w:w="80"/>
              <w:bottom w:type="dxa" w:w="60"/>
              <w:right w:type="dxa" w:w="80"/>
            </w:tcMar>
            <w:vAlign w:val="center"/>
          </w:tcPr>
          <w:p>
            <w:r>
              <w:rPr>
                <w:b w:val="false"/>
                <w:bCs w:val="false"/>
                <w:sz w:val="17"/>
                <w:szCs w:val="17"/>
              </w:rPr>
              <w:t xml:space="preserve">9. El sistema muestra el comprobante subido para que el operador lo revise y, si corresponde, confirme el turno manualmente.</w:t>
            </w:r>
          </w:p>
        </w:tc>
      </w:tr>
    </w:tbl>
    <w:p>
      <w:pPr>
        <w:spacing w:after="200"/>
      </w:pPr>
    </w:p>
    <w:p>
      <w:pPr>
        <w:pStyle w:val="Heading1"/>
        <w:spacing w:after="180" w:before="420"/>
      </w:pPr>
      <w:r>
        <w:t xml:space="preserve">RU-10 — Autogestión del beneficiario: pedir turno y pagar el bono contribución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Autogestión del beneficiario: pedir turno y pagar 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confirme el pago del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disponible, transfiere el bono contribución a la cuenta de la fundación, sube el comprobante y el sistema confirma el turno; también puede ver su historial de turnos pasados.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RNF-01 (Autenticación y autorización,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confirmado y visible en la agenda del staff (RU-09) para revisión posterior del comprobante por un operador.</w:t>
            </w:r>
          </w:p>
        </w:tc>
      </w:tr>
    </w:tbl>
    <w:p>
      <w:pPr>
        <w:spacing w:after="120"/>
      </w:pPr>
    </w:p>
    <w:p>
      <w:pPr>
        <w:spacing w:after="160"/>
      </w:pPr>
      <w:r>
        <w:rPr>
          <w:i/>
          <w:iCs/>
          <w:color w:val="555555"/>
          <w:sz w:val="20"/>
          <w:szCs w:val="20"/>
        </w:rPr>
        <w:t xml:space="preserve">Pantalla: Autogestión — Mis turnos (Figura 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elige una fecha disponible (paso 1 del indicador de progreso, A: "Elegir fecha").</w:t>
            </w:r>
          </w:p>
        </w:tc>
        <w:tc>
          <w:tcPr>
            <w:tcW w:type="dxa" w:w="5040"/>
            <w:tcMar>
              <w:top w:type="dxa" w:w="60"/>
              <w:left w:type="dxa" w:w="80"/>
              <w:bottom w:type="dxa" w:w="60"/>
              <w:right w:type="dxa" w:w="80"/>
            </w:tcMar>
            <w:vAlign w:val="center"/>
          </w:tcPr>
          <w:p>
            <w:r>
              <w:rPr>
                <w:b w:val="false"/>
                <w:bCs w:val="false"/>
                <w:sz w:val="17"/>
                <w:szCs w:val="17"/>
              </w:rPr>
              <w:t xml:space="preserve">2. El sistema crea el turno en estado PENDIENTE DE PAGO (B) y avanza al paso 2 ("Confirmar con bono contribución").</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3. El sistema muestra la indicación de transferencia (C) con los datos de la cuenta de la fundación.</w:t>
            </w:r>
          </w:p>
        </w:tc>
      </w:tr>
      <w:tr>
        <w:tc>
          <w:tcPr>
            <w:tcW w:type="dxa" w:w="5040"/>
            <w:tcMar>
              <w:top w:type="dxa" w:w="60"/>
              <w:left w:type="dxa" w:w="80"/>
              <w:bottom w:type="dxa" w:w="60"/>
              <w:right w:type="dxa" w:w="80"/>
            </w:tcMar>
            <w:vAlign w:val="center"/>
          </w:tcPr>
          <w:p>
            <w:r>
              <w:rPr>
                <w:b w:val="false"/>
                <w:bCs w:val="false"/>
                <w:sz w:val="17"/>
                <w:szCs w:val="17"/>
              </w:rPr>
              <w:t xml:space="preserve">4. El beneficiario hace clic en el recuadro de Comprobante de transferencia (D), sube el archivo y hace clic en Subir comprobante (E).</w:t>
            </w:r>
          </w:p>
        </w:tc>
        <w:tc>
          <w:tcPr>
            <w:tcW w:type="dxa" w:w="5040"/>
            <w:tcMar>
              <w:top w:type="dxa" w:w="60"/>
              <w:left w:type="dxa" w:w="80"/>
              <w:bottom w:type="dxa" w:w="60"/>
              <w:right w:type="dxa" w:w="80"/>
            </w:tcMar>
            <w:vAlign w:val="center"/>
          </w:tcPr>
          <w:p>
            <w:r>
              <w:rPr>
                <w:b w:val="false"/>
                <w:bCs w:val="false"/>
                <w:sz w:val="17"/>
                <w:szCs w:val="17"/>
              </w:rPr>
              <w:t xml:space="preserve">5. El sistema pasa el turno a SCHEDULED (paso 3, "Turno confirmado") y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6. (Opcional) El beneficiario revisa su Historial (F) de turnos pasados (asistidos/cancelados).</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4a. El beneficiario no sube comprobante: el turno permanece "Pendiente de pago" indefinidamente (no bloquea el resto de la app, pero no se confirma ni notifica).</w:t>
      </w:r>
    </w:p>
    <w:p>
      <w:pPr>
        <w:spacing w:after="200"/>
      </w:pPr>
    </w:p>
    <w:p>
      <w:pPr>
        <w:pStyle w:val="Heading1"/>
        <w:spacing w:after="180" w:before="420"/>
      </w:pPr>
      <w:r>
        <w:t xml:space="preserve">RU-11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marcos/lotes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registra un envío indicando origen, destino y marcos a trasladar, lo que dispara el registro en 17TRACK; el estado se actualiza automáticamente por webhook, y el operador puede revisar el historial de eventos de cada envío.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Logística — Envíos (Figura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 Registrar envío (B), elige origen/destino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registra el envío en 17TRACK y lo agrega a la tabla (C) con su N° de seguimiento.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por N° de seguimiento… (A).</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del envío (D, badge, actualizado automáticamente por el webhook de 17TRACK).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historial (E).</w:t>
            </w:r>
          </w:p>
        </w:tc>
        <w:tc>
          <w:tcPr>
            <w:tcW w:type="dxa" w:w="5040"/>
            <w:tcMar>
              <w:top w:type="dxa" w:w="60"/>
              <w:left w:type="dxa" w:w="80"/>
              <w:bottom w:type="dxa" w:w="60"/>
              <w:right w:type="dxa" w:w="80"/>
            </w:tcMar>
            <w:vAlign w:val="center"/>
          </w:tcPr>
          <w:p>
            <w:r>
              <w:rPr>
                <w:b w:val="false"/>
                <w:bCs w:val="false"/>
                <w:sz w:val="17"/>
                <w:szCs w:val="17"/>
              </w:rPr>
              <w:t xml:space="preserve">7. El sistema muestra el detalle de eventos de ese envío.</w:t>
            </w:r>
          </w:p>
        </w:tc>
      </w:tr>
    </w:tbl>
    <w:p>
      <w:pPr>
        <w:spacing w:after="200"/>
      </w:pPr>
    </w:p>
    <w:p>
      <w:pPr>
        <w:pStyle w:val="Heading1"/>
        <w:spacing w:after="180" w:before="420"/>
      </w:pPr>
      <w:r>
        <w:t xml:space="preserve">RU-12 — Consultar el panel de 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Consultar el panel de indicadores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Reportar el impacto social de la fundación con métricas agregadas.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indicadores agregados (entregas realizadas, beneficiarios atendidos, marcos donados, % de turnos con asistencia) y un gráfico de entregas por mes; el usuario puede cambiar el período para recalcularlos.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RF-26, RF-27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Panel de indicadores de impacto (Figura 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entra a "Indicadores".</w:t>
            </w:r>
          </w:p>
        </w:tc>
        <w:tc>
          <w:tcPr>
            <w:tcW w:type="dxa" w:w="5040"/>
            <w:tcMar>
              <w:top w:type="dxa" w:w="60"/>
              <w:left w:type="dxa" w:w="80"/>
              <w:bottom w:type="dxa" w:w="60"/>
              <w:right w:type="dxa" w:w="80"/>
            </w:tcMar>
            <w:vAlign w:val="center"/>
          </w:tcPr>
          <w:p>
            <w:r>
              <w:rPr>
                <w:b w:val="false"/>
                <w:bCs w:val="false"/>
                <w:sz w:val="17"/>
                <w:szCs w:val="17"/>
              </w:rPr>
              <w:t xml:space="preserve">2. El sistema muestra los indicadores agregados: Entregas realizadas (B), Beneficiarios atendidos (C), Marcos donados (D) y % de Turnos con asistencia (E), junto con el gráfico de entregas por mes (F).</w:t>
            </w:r>
          </w:p>
        </w:tc>
      </w:tr>
      <w:tr>
        <w:tc>
          <w:tcPr>
            <w:tcW w:type="dxa" w:w="5040"/>
            <w:tcMar>
              <w:top w:type="dxa" w:w="60"/>
              <w:left w:type="dxa" w:w="80"/>
              <w:bottom w:type="dxa" w:w="60"/>
              <w:right w:type="dxa" w:w="80"/>
            </w:tcMar>
            <w:vAlign w:val="center"/>
          </w:tcPr>
          <w:p>
            <w:r>
              <w:rPr>
                <w:b w:val="false"/>
                <w:bCs w:val="false"/>
                <w:sz w:val="17"/>
                <w:szCs w:val="17"/>
              </w:rPr>
              <w:t xml:space="preserve">3. El usuario cambia el selector de período (A, p. ej. "Último trimestre").</w:t>
            </w:r>
          </w:p>
        </w:tc>
        <w:tc>
          <w:tcPr>
            <w:tcW w:type="dxa" w:w="5040"/>
            <w:tcMar>
              <w:top w:type="dxa" w:w="60"/>
              <w:left w:type="dxa" w:w="80"/>
              <w:bottom w:type="dxa" w:w="60"/>
              <w:right w:type="dxa" w:w="80"/>
            </w:tcMar>
            <w:vAlign w:val="center"/>
          </w:tcPr>
          <w:p>
            <w:r>
              <w:rPr>
                <w:b w:val="false"/>
                <w:bCs w:val="false"/>
                <w:sz w:val="17"/>
                <w:szCs w:val="17"/>
              </w:rPr>
              <w:t xml:space="preserve">4. El sistema recalcula los indicadores y el gráfico para ese rango.</w:t>
            </w:r>
          </w:p>
        </w:tc>
      </w:tr>
    </w:tbl>
    <w:p>
      <w:pPr>
        <w:spacing w:after="200"/>
      </w:pPr>
    </w:p>
    <w:p>
      <w:pPr>
        <w:pStyle w:val="Heading1"/>
        <w:spacing w:after="180" w:before="420"/>
      </w:pPr>
      <w:r>
        <w:t xml:space="preserve">RU-13 — Consultar el catálogo público de anteojos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Consultar el catálogo público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Comprador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cualquier visitante vea los anteojos de sol disponibles para la venta, sin necesidad de cuenta.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productos activos del catálogo con foto, nombre y precio; el visitante interesado se comunica con la fundación para coordinar la compra, que un operador registra desde la gestión de stock (RU-14).</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la compra en sí se registra en RU-14).</w:t>
            </w:r>
          </w:p>
        </w:tc>
      </w:tr>
    </w:tbl>
    <w:p>
      <w:pPr>
        <w:spacing w:after="120"/>
      </w:pPr>
    </w:p>
    <w:p>
      <w:pPr>
        <w:spacing w:after="160"/>
      </w:pPr>
      <w:r>
        <w:rPr>
          <w:i/>
          <w:iCs/>
          <w:color w:val="555555"/>
          <w:sz w:val="20"/>
          <w:szCs w:val="20"/>
        </w:rPr>
        <w:t xml:space="preserve">Pantalla: Catálogo público (Figura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76975" cy="15811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entra al catálogo desde el sitio de la fundación.</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(A) con foto, nombre y precio (B).</w:t>
            </w:r>
          </w:p>
        </w:tc>
      </w:tr>
      <w:tr>
        <w:tc>
          <w:tcPr>
            <w:tcW w:type="dxa" w:w="5040"/>
            <w:tcMar>
              <w:top w:type="dxa" w:w="60"/>
              <w:left w:type="dxa" w:w="80"/>
              <w:bottom w:type="dxa" w:w="60"/>
              <w:right w:type="dxa" w:w="80"/>
            </w:tcMar>
            <w:vAlign w:val="center"/>
          </w:tcPr>
          <w:p>
            <w:r>
              <w:rPr>
                <w:b w:val="false"/>
                <w:bCs w:val="false"/>
                <w:sz w:val="17"/>
                <w:szCs w:val="17"/>
              </w:rPr>
              <w:t xml:space="preserve">3. El visitante interesado se comunica con la fundación para coordinar la compra (C: el catálogo público no procesa pagos online).</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RU-14 — Gestionar stock y registrar ventas del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Gestionar stock y registrar ventas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(gestión de catálogo), Operador (registro de venta)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y registrar las ventas descontando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da de alta o edita productos del catálogo (nombre, precio, stock); el operador registra la venta de un producto con stock disponible y el sistema descuenta el stock vendido.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 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Stock y/o catálogo actualizados.</w:t>
            </w:r>
          </w:p>
        </w:tc>
      </w:tr>
    </w:tbl>
    <w:p>
      <w:pPr>
        <w:spacing w:after="120"/>
      </w:pPr>
    </w:p>
    <w:p>
      <w:pPr>
        <w:spacing w:after="160"/>
      </w:pPr>
      <w:r>
        <w:rPr>
          <w:i/>
          <w:iCs/>
          <w:color w:val="555555"/>
          <w:sz w:val="20"/>
          <w:szCs w:val="20"/>
        </w:rPr>
        <w:t xml:space="preserve">Pantalla: Catálogo — Gestión de stock y ventas (Figura 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76975" cy="23050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administrador hace clic en + Nuevo producto (B) o en Editar (D) sobre uno existente, y carga nombre, precio y stock.</w:t>
            </w:r>
          </w:p>
        </w:tc>
        <w:tc>
          <w:tcPr>
            <w:tcW w:type="dxa" w:w="5040"/>
            <w:tcMar>
              <w:top w:type="dxa" w:w="60"/>
              <w:left w:type="dxa" w:w="80"/>
              <w:bottom w:type="dxa" w:w="60"/>
              <w:right w:type="dxa" w:w="80"/>
            </w:tcMar>
            <w:vAlign w:val="center"/>
          </w:tcPr>
          <w:p>
            <w:r>
              <w:rPr>
                <w:b w:val="false"/>
                <w:bCs w:val="false"/>
                <w:sz w:val="17"/>
                <w:szCs w:val="17"/>
              </w:rPr>
              <w:t xml:space="preserve">2. El sistema guarda el producto y lo muestra en la tabla (C) con su estado (F, badge Activo/Discontinuado).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producto…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venta (E) sobre un producto con stock disponible e indica la cantidad.</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vendido.</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5a. Stock insuficiente: el sistema rechaza la venta con un mensaje y no descuenta stock.</w:t>
      </w:r>
    </w:p>
    <w:p>
      <w:pPr>
        <w:pStyle w:val="ListParagraph"/>
        <w:numPr>
          <w:ilvl w:val="0"/>
          <w:numId w:val="1"/>
        </w:numPr>
        <w:spacing w:after="70"/>
      </w:pPr>
      <w:r>
        <w:t xml:space="preserve">El administrador puede discontinuar un producto (baja lógica) desde Editar (D): pasa a estado "Discontinuado" (F) y deja de aparecer en el catálogo público, sin borrarse del historial de ventas.</w:t>
      </w:r>
    </w:p>
    <w:p>
      <w:pPr>
        <w:spacing w:after="200"/>
      </w:pPr>
    </w:p>
    <w:p>
      <w:pPr>
        <w:pStyle w:val="Heading1"/>
        <w:spacing w:after="180" w:before="420"/>
      </w:pPr>
      <w:r>
        <w:t xml:space="preserve">Notas de trazabilidad</w:t>
      </w:r>
    </w:p>
    <w:p>
      <w:pPr>
        <w:pStyle w:val="ListParagraph"/>
        <w:numPr>
          <w:ilvl w:val="0"/>
          <w:numId w:val="1"/>
        </w:numPr>
        <w:spacing w:after="70"/>
      </w:pPr>
      <w:r>
        <w:t xml:space="preserve">Cada RU referencia explícitamente su(s) RF/RNF del SRS y su(s) UC del Modelo de Casos de Uso, y su mockup en docs/mockups/; cualquier cambio de campo o botón en el mockup debe reflejarse en la captura anotada y en el diálogo de este documento.</w:t>
      </w:r>
    </w:p>
    <w:p>
      <w:pPr>
        <w:pStyle w:val="ListParagraph"/>
        <w:numPr>
          <w:ilvl w:val="0"/>
          <w:numId w:val="1"/>
        </w:numPr>
        <w:spacing w:after="70"/>
      </w:pPr>
      <w:r>
        <w:t xml:space="preserve">Las letras que marcan cada captura identifican un control o dato concreto de la pantalla; se referencian igual en la columna "Acción de los actores" (lo que el usuario toca) y en "Respuesta del sistema" (lo que el sistema muestra o actualiza).</w:t>
      </w:r>
    </w:p>
    <w:p>
      <w:pPr>
        <w:pStyle w:val="ListParagraph"/>
        <w:numPr>
          <w:ilvl w:val="0"/>
          <w:numId w:val="1"/>
        </w:numPr>
        <w:spacing w:after="70"/>
      </w:pPr>
      <w:r>
        <w:t xml:space="preserve">Las validaciones "no bloqueantes, a criterio del operador" (vigencia ANSES, compatibilidad de match) son decisiones de diseño explícitas del SRS (RF-05, RF-14), no omisiones.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Casos de Uso Reales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3383288d29dc77a8f8fa420d2b3746073948e2.png"/><Relationship Id="rId10" Type="http://schemas.openxmlformats.org/officeDocument/2006/relationships/image" Target="media/ce9748515a1936049525af835e5788466a12875b.png"/><Relationship Id="rId11" Type="http://schemas.openxmlformats.org/officeDocument/2006/relationships/image" Target="media/009a72f0ad52c2cf4fc994ebaa0342de716a0a3f.png"/><Relationship Id="rId12" Type="http://schemas.openxmlformats.org/officeDocument/2006/relationships/image" Target="media/c6dca1bf0da7e9c6664dc0ea40589cafc6ac9ef6.png"/><Relationship Id="rId13" Type="http://schemas.openxmlformats.org/officeDocument/2006/relationships/image" Target="media/3a6719c8d7a90cda2a3f44d36bc7efa0b9d55801.png"/><Relationship Id="rId14" Type="http://schemas.openxmlformats.org/officeDocument/2006/relationships/image" Target="media/50d796f1cfc37d9ae921f9784968063ab4d94222.png"/><Relationship Id="rId15" Type="http://schemas.openxmlformats.org/officeDocument/2006/relationships/image" Target="media/52ca2d109a21b28e287c664bf6a55252b40eadf1.png"/><Relationship Id="rId16" Type="http://schemas.openxmlformats.org/officeDocument/2006/relationships/image" Target="media/00b2f6633690a15057461efb67e7e4548e7b9505.png"/><Relationship Id="rId17" Type="http://schemas.openxmlformats.org/officeDocument/2006/relationships/image" Target="media/632b0de519e94c8f04c685d85ec705e612234f89.png"/><Relationship Id="rId18" Type="http://schemas.openxmlformats.org/officeDocument/2006/relationships/image" Target="media/3792499e7c4adbfa87eff41de1212807119aa581.png"/><Relationship Id="rId19" Type="http://schemas.openxmlformats.org/officeDocument/2006/relationships/image" Target="media/28e547ff53ea6f6685a2ee1c6ae6be264b666347.png"/><Relationship Id="rId20" Type="http://schemas.openxmlformats.org/officeDocument/2006/relationships/image" Target="media/454afaacbc2e5465f546efe42f1694b06f99b034.png"/><Relationship Id="rId21" Type="http://schemas.openxmlformats.org/officeDocument/2006/relationships/image" Target="media/01c8e63b56f9ba4f04afae7c63017feb0778eaec.png"/><Relationship Id="rId22" Type="http://schemas.openxmlformats.org/officeDocument/2006/relationships/image" Target="media/1ea55a061b5ba1ced05c88dee303a149af049837.png"/><Relationship Id="rId23" Type="http://schemas.openxmlformats.org/officeDocument/2006/relationships/image" Target="media/0a993e63e460cf1a35b5ee84bf3ec3475b99f67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2026-09-26T21:25:56.530Z</dcterms:created>
  <dcterms:modified xsi:type="dcterms:W3CDTF">2026-09-26T21:25:56.530Z</dcterms:modified>
</cp:coreProperties>
</file>

<file path=docProps/custom.xml><?xml version="1.0" encoding="utf-8"?>
<Properties xmlns="http://schemas.openxmlformats.org/officeDocument/2006/custom-properties" xmlns:vt="http://schemas.openxmlformats.org/officeDocument/2006/docPropsVTypes"/>
</file>