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pStyle w:val="Heading1"/>
        <w:spacing w:after="180" w:before="420"/>
      </w:pPr>
      <w:r>
        <w:t xml:space="preserve">Índice</w:t>
      </w:r>
    </w:p>
    <w:sdt>
      <w:sdtPr>
        <w:alias w:val="Índice"/>
      </w:sdtPr>
      <w:sdtContent>
        <w:p>
          <w:r>
            <w:fldChar w:fldCharType="begin" w:dirty="true"/>
            <w:instrText xml:space="preserve">TOC \h \o "1-1"</w:instrText>
            <w:fldChar w:fldCharType="separate"/>
          </w:r>
        </w:p>
        <w:p>
          <w:r>
            <w:fldChar w:fldCharType="end"/>
          </w:r>
        </w:p>
      </w:sdtContent>
    </w:sdt>
    <w:p>
      <w:r>
        <w:br w:type="page"/>
      </w:r>
    </w:p>
    <w:p>
      <w:pPr>
        <w:spacing w:after="120"/>
      </w:pPr>
      <w:r>
        <w:t xml:space="preserve">Cada caso de uso real concreta uno o más casos de uso esenciales del Modelo de Casos de Uso contra una pantalla real de los Mockups: reúne los datos del caso (actores, propósito, resumen, tipo, referencias cruzadas, pre/postcondiciones), la captura de la pantalla con sus elementos interactivos marcados con una letra, y el diálogo actor↔sistema referenciando esas letras.</w:t>
      </w:r>
    </w:p>
    <w:p>
      <w:pPr>
        <w:pStyle w:val="Heading1"/>
        <w:spacing w:after="180" w:before="420"/>
      </w:pPr>
      <w:r>
        <w:t xml:space="preserve">RU-01 — Iniciar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RU-01 — Iniciar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Administrador,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Autenticar al usuario contra el sistema para habilitar el resto de las funciones según su rol.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ingresa email y contraseña; el sistema los valida contra la base y, si son correctos, emite un JWT y redirige al panel correspondiente a su rol (Operador/Administrador o portal de autogestión del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RNF-01 (Autenticación y autorización)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usuario tiene una cuenta creada (ADMIN/OPERATOR dado de alta por un administrador, o APPLICANT por autoregistro).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Sesión iniciada; el JWT queda almacenado en el cliente para las siguientes requests.</w:t>
            </w:r>
          </w:p>
        </w:tc>
      </w:tr>
    </w:tbl>
    <w:p>
      <w:pPr>
        <w:spacing w:after="120"/>
      </w:pPr>
    </w:p>
    <w:p>
      <w:pPr>
        <w:spacing w:after="160"/>
      </w:pPr>
      <w:r>
        <w:rPr>
          <w:i/>
          <w:iCs/>
          <w:color w:val="555555"/>
          <w:sz w:val="20"/>
          <w:szCs w:val="20"/>
        </w:rPr>
        <w:t xml:space="preserve">Pantalla: Inicio de sesión (Figura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completa el campo Correo electrónico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Completa el campo Contraseña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3. Hace clic en Iniciar sesión (C).</w:t>
            </w:r>
          </w:p>
        </w:tc>
        <w:tc>
          <w:tcPr>
            <w:tcW w:type="dxa" w:w="5040"/>
            <w:tcMar>
              <w:top w:type="dxa" w:w="60"/>
              <w:left w:type="dxa" w:w="80"/>
              <w:bottom w:type="dxa" w:w="60"/>
              <w:right w:type="dxa" w:w="80"/>
            </w:tcMar>
            <w:vAlign w:val="center"/>
          </w:tcPr>
          <w:p>
            <w:r>
              <w:rPr>
                <w:b w:val="false"/>
                <w:bCs w:val="false"/>
                <w:sz w:val="17"/>
                <w:szCs w:val="17"/>
              </w:rPr>
              <w:t xml:space="preserve">4. El sistema valida las credenciales y redirige al portal correspondiente a su rol: /solicitante (Beneficiario), /operador (Operador) o /admin (Administrador).</w:t>
            </w:r>
          </w:p>
        </w:tc>
      </w:tr>
      <w:tr>
        <w:tc>
          <w:tcPr>
            <w:tcW w:type="dxa" w:w="5040"/>
            <w:tcMar>
              <w:top w:type="dxa" w:w="60"/>
              <w:left w:type="dxa" w:w="80"/>
              <w:bottom w:type="dxa" w:w="60"/>
              <w:right w:type="dxa" w:w="80"/>
            </w:tcMar>
            <w:vAlign w:val="center"/>
          </w:tcPr>
          <w:p>
            <w:r>
              <w:rPr>
                <w:b w:val="false"/>
                <w:bCs w:val="false"/>
                <w:sz w:val="17"/>
                <w:szCs w:val="17"/>
              </w:rPr>
              <w:t xml:space="preserve">5. (Opcional) El beneficiario sin cuenta hace clic en el enlace "¿Sos beneficiario? Registrate acá" (D).</w:t>
            </w:r>
          </w:p>
        </w:tc>
        <w:tc>
          <w:tcPr>
            <w:tcW w:type="dxa" w:w="5040"/>
            <w:tcMar>
              <w:top w:type="dxa" w:w="60"/>
              <w:left w:type="dxa" w:w="80"/>
              <w:bottom w:type="dxa" w:w="60"/>
              <w:right w:type="dxa" w:w="80"/>
            </w:tcMar>
            <w:vAlign w:val="center"/>
          </w:tcPr>
          <w:p>
            <w:r>
              <w:rPr>
                <w:b w:val="false"/>
                <w:bCs w:val="false"/>
                <w:sz w:val="17"/>
                <w:szCs w:val="17"/>
              </w:rPr>
              <w:t xml:space="preserve">6. El sistema muestra el formulario de autoregistro (RF-20).</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3a. Credenciales inválidas: el sistema muestra el mensaje de error devuelto por la API sin redirigir, sin indicar si falló el email o la contraseña.</w:t>
      </w:r>
    </w:p>
    <w:p>
      <w:pPr>
        <w:spacing w:after="200"/>
      </w:pPr>
    </w:p>
    <w:p>
      <w:pPr>
        <w:pStyle w:val="Heading1"/>
        <w:spacing w:after="180" w:before="420"/>
      </w:pPr>
      <w:r>
        <w:t xml:space="preserve">RU-02 — Gestionar solicitantes (listar y buscar)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RU-02 — Gestionar solicitantes (listar y buscar)</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un solicitante existente o iniciar el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visualiza el listado de solicitantes con su estado de identidad y de ANSES, lo filtra por DNI/nombre o estado, y navega al detalle de uno (RU-03) o al alta de uno nuevo.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RF-08 (Consultar, editar y listar solicitantes)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 (RU-01).</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visualiza o navega al solicitante elegido.</w:t>
            </w:r>
          </w:p>
        </w:tc>
      </w:tr>
    </w:tbl>
    <w:p>
      <w:pPr>
        <w:spacing w:after="120"/>
      </w:pPr>
    </w:p>
    <w:p>
      <w:pPr>
        <w:spacing w:after="160"/>
      </w:pPr>
      <w:r>
        <w:rPr>
          <w:i/>
          <w:iCs/>
          <w:color w:val="555555"/>
          <w:sz w:val="20"/>
          <w:szCs w:val="20"/>
        </w:rPr>
        <w:t xml:space="preserve">Pantalla: Solicitantes — Listado (Figura 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76975" cy="392430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"Solicitantes" desde el menú lateral.</w:t>
            </w:r>
          </w:p>
        </w:tc>
        <w:tc>
          <w:tcPr>
            <w:tcW w:type="dxa" w:w="5040"/>
            <w:tcMar>
              <w:top w:type="dxa" w:w="60"/>
              <w:left w:type="dxa" w:w="80"/>
              <w:bottom w:type="dxa" w:w="60"/>
              <w:right w:type="dxa" w:w="80"/>
            </w:tcMar>
            <w:vAlign w:val="center"/>
          </w:tcPr>
          <w:p>
            <w:r>
              <w:rPr>
                <w:b w:val="false"/>
                <w:bCs w:val="false"/>
                <w:sz w:val="17"/>
                <w:szCs w:val="17"/>
              </w:rPr>
              <w:t xml:space="preserve">2. El sistema muestra la tabla (D) con Nombre, DNI, estado de Identidad, estado de ANSES y fecha de última receta.</w:t>
            </w:r>
          </w:p>
        </w:tc>
      </w:tr>
      <w:tr>
        <w:tc>
          <w:tcPr>
            <w:tcW w:type="dxa" w:w="5040"/>
            <w:tcMar>
              <w:top w:type="dxa" w:w="60"/>
              <w:left w:type="dxa" w:w="80"/>
              <w:bottom w:type="dxa" w:w="60"/>
              <w:right w:type="dxa" w:w="80"/>
            </w:tcMar>
            <w:vAlign w:val="center"/>
          </w:tcPr>
          <w:p>
            <w:r>
              <w:rPr>
                <w:b w:val="false"/>
                <w:bCs w:val="false"/>
                <w:sz w:val="17"/>
                <w:szCs w:val="17"/>
              </w:rPr>
              <w:t xml:space="preserve">3. El operador escribe en Buscar por DNI o nombre… (A) o elige un estado en el selector (B).</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 Identidad (E) y de ANSES (F) de un solicitante en la fila.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(G) sobre una fila.</w:t>
            </w:r>
          </w:p>
        </w:tc>
        <w:tc>
          <w:tcPr>
            <w:tcW w:type="dxa" w:w="5040"/>
            <w:tcMar>
              <w:top w:type="dxa" w:w="60"/>
              <w:left w:type="dxa" w:w="80"/>
              <w:bottom w:type="dxa" w:w="60"/>
              <w:right w:type="dxa" w:w="80"/>
            </w:tcMar>
            <w:vAlign w:val="center"/>
          </w:tcPr>
          <w:p>
            <w:r>
              <w:rPr>
                <w:b w:val="false"/>
                <w:bCs w:val="false"/>
                <w:sz w:val="17"/>
                <w:szCs w:val="17"/>
              </w:rPr>
              <w:t xml:space="preserve">7. El sistema navega al detalle del solicitante (RU-03).</w:t>
            </w:r>
          </w:p>
        </w:tc>
      </w:tr>
      <w:tr>
        <w:tc>
          <w:tcPr>
            <w:tcW w:type="dxa" w:w="5040"/>
            <w:tcMar>
              <w:top w:type="dxa" w:w="60"/>
              <w:left w:type="dxa" w:w="80"/>
              <w:bottom w:type="dxa" w:w="60"/>
              <w:right w:type="dxa" w:w="80"/>
            </w:tcMar>
            <w:vAlign w:val="center"/>
          </w:tcPr>
          <w:p>
            <w:r>
              <w:rPr>
                <w:b w:val="false"/>
                <w:bCs w:val="false"/>
                <w:sz w:val="17"/>
                <w:szCs w:val="17"/>
              </w:rPr>
              <w:t xml:space="preserve">8. (Alternativa) Hace clic en + Nuevo solicitante (C).</w:t>
            </w:r>
          </w:p>
        </w:tc>
        <w:tc>
          <w:tcPr>
            <w:tcW w:type="dxa" w:w="5040"/>
            <w:tcMar>
              <w:top w:type="dxa" w:w="60"/>
              <w:left w:type="dxa" w:w="80"/>
              <w:bottom w:type="dxa" w:w="60"/>
              <w:right w:type="dxa" w:w="80"/>
            </w:tcMar>
            <w:vAlign w:val="center"/>
          </w:tcPr>
          <w:p>
            <w:r>
              <w:rPr>
                <w:b w:val="false"/>
                <w:bCs w:val="false"/>
                <w:sz w:val="17"/>
                <w:szCs w:val="17"/>
              </w:rPr>
              <w:t xml:space="preserve">9. El sistema abre el formulario de datos personales de RU-03, vacío.</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4a. Sin resultados: la tabla muestra un estado vacío con el texto de búsqueda aplicado.</w:t>
      </w:r>
    </w:p>
    <w:p>
      <w:pPr>
        <w:spacing w:after="200"/>
      </w:pPr>
    </w:p>
    <w:p>
      <w:pPr>
        <w:pStyle w:val="Heading1"/>
        <w:spacing w:after="180" w:before="420"/>
      </w:pPr>
      <w:r>
        <w:t xml:space="preserve">RU-03 — Alta, edición y validación del solicitante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RU-03 — Alta, edición y validación del solicitante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RENAPER (SID)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y mantener los datos de elegibilidad de un beneficiario: identidad, certificación negativa de ANSES y receta médica.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carga o edita los datos personales del solicitante, dispara la validación de identidad contra RENAPER (o la registra manualmente si el servicio no responde), carga el PDF de certificación negativa de ANSES para su verificación automática de CUIL y vigencia, y registra la receta médica que luego se usa para el match con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RF-01, RF-02, RF-03, RF-04, RF-05, RF-06, RF-07, RF-08; RNF-02 (Protección de datos personales)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Solicitante nuevo (desde RU-02, "+ Nuevo solicitante") o existente (desde RU-02, "Ver").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solicitante queda con sus datos, estado de validación y receta actualizados, disponible para el match de asignación (RU-06).</w:t>
            </w:r>
          </w:p>
        </w:tc>
      </w:tr>
    </w:tbl>
    <w:p>
      <w:pPr>
        <w:spacing w:after="120"/>
      </w:pPr>
    </w:p>
    <w:p>
      <w:pPr>
        <w:spacing w:after="160"/>
      </w:pPr>
      <w:r>
        <w:rPr>
          <w:i/>
          <w:iCs/>
          <w:color w:val="555555"/>
          <w:sz w:val="20"/>
          <w:szCs w:val="20"/>
        </w:rPr>
        <w:t xml:space="preserve">Pantalla: Solicitantes — Detalle (Figura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completa Nombre (A), Apellido (B), DNI (C), Fecha de nacimiento (D) y Teléfono (E) en la tarjeta "Datos personales".</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2. Hace clic en Guardar cambios (F).</w:t>
            </w:r>
          </w:p>
        </w:tc>
        <w:tc>
          <w:tcPr>
            <w:tcW w:type="dxa" w:w="5040"/>
            <w:tcMar>
              <w:top w:type="dxa" w:w="60"/>
              <w:left w:type="dxa" w:w="80"/>
              <w:bottom w:type="dxa" w:w="60"/>
              <w:right w:type="dxa" w:w="80"/>
            </w:tcMar>
            <w:vAlign w:val="center"/>
          </w:tcPr>
          <w:p>
            <w:r>
              <w:rPr>
                <w:b w:val="false"/>
                <w:bCs w:val="false"/>
                <w:sz w:val="17"/>
                <w:szCs w:val="17"/>
              </w:rPr>
              <w:t xml:space="preserve">3. El sistema guarda el solicitante y deshabilita el campo DNI para ediciones futuras (es la identidad contra la que se valida RENAPER).</w:t>
            </w:r>
          </w:p>
        </w:tc>
      </w:tr>
      <w:tr>
        <w:tc>
          <w:tcPr>
            <w:tcW w:type="dxa" w:w="5040"/>
            <w:tcMar>
              <w:top w:type="dxa" w:w="60"/>
              <w:left w:type="dxa" w:w="80"/>
              <w:bottom w:type="dxa" w:w="60"/>
              <w:right w:type="dxa" w:w="80"/>
            </w:tcMar>
            <w:vAlign w:val="center"/>
          </w:tcPr>
          <w:p>
            <w:r>
              <w:rPr>
                <w:b w:val="false"/>
                <w:bCs w:val="false"/>
                <w:sz w:val="17"/>
                <w:szCs w:val="17"/>
              </w:rPr>
              <w:t xml:space="preserve">4. En "Validación de identidad", el operador hace clic en Reintentar validación RENAPER (H).</w:t>
            </w:r>
          </w:p>
        </w:tc>
        <w:tc>
          <w:tcPr>
            <w:tcW w:type="dxa" w:w="5040"/>
            <w:tcMar>
              <w:top w:type="dxa" w:w="60"/>
              <w:left w:type="dxa" w:w="80"/>
              <w:bottom w:type="dxa" w:w="60"/>
              <w:right w:type="dxa" w:w="80"/>
            </w:tcMar>
            <w:vAlign w:val="center"/>
          </w:tcPr>
          <w:p>
            <w:r>
              <w:rPr>
                <w:b w:val="false"/>
                <w:bCs w:val="false"/>
                <w:sz w:val="17"/>
                <w:szCs w:val="17"/>
              </w:rPr>
              <w:t xml:space="preserve">5. El sistema consulta el SID de RENAPER y actualiza el badge de estado (G) a "Validada por RENAPER".</w:t>
            </w:r>
          </w:p>
        </w:tc>
      </w:tr>
      <w:tr>
        <w:tc>
          <w:tcPr>
            <w:tcW w:type="dxa" w:w="5040"/>
            <w:tcMar>
              <w:top w:type="dxa" w:w="60"/>
              <w:left w:type="dxa" w:w="80"/>
              <w:bottom w:type="dxa" w:w="60"/>
              <w:right w:type="dxa" w:w="80"/>
            </w:tcMar>
            <w:vAlign w:val="center"/>
          </w:tcPr>
          <w:p>
            <w:r>
              <w:rPr>
                <w:b w:val="false"/>
                <w:bCs w:val="false"/>
                <w:sz w:val="17"/>
                <w:szCs w:val="17"/>
              </w:rPr>
              <w:t xml:space="preserve">6. (Alternativa) Si RENAPER no está disponible, hace clic en Validar presencialmente (DNI físico) (I) y confirma que verificó el documento en persona.</w:t>
            </w:r>
          </w:p>
        </w:tc>
        <w:tc>
          <w:tcPr>
            <w:tcW w:type="dxa" w:w="5040"/>
            <w:tcMar>
              <w:top w:type="dxa" w:w="60"/>
              <w:left w:type="dxa" w:w="80"/>
              <w:bottom w:type="dxa" w:w="60"/>
              <w:right w:type="dxa" w:w="80"/>
            </w:tcMar>
            <w:vAlign w:val="center"/>
          </w:tcPr>
          <w:p>
            <w:r>
              <w:rPr>
                <w:b w:val="false"/>
                <w:bCs w:val="false"/>
                <w:sz w:val="17"/>
                <w:szCs w:val="17"/>
              </w:rPr>
              <w:t xml:space="preserve">7. El sistema registra la validación manual; el badge (G) pasa a "Manual (presencial)".</w:t>
            </w:r>
          </w:p>
        </w:tc>
      </w:tr>
      <w:tr>
        <w:tc>
          <w:tcPr>
            <w:tcW w:type="dxa" w:w="5040"/>
            <w:tcMar>
              <w:top w:type="dxa" w:w="60"/>
              <w:left w:type="dxa" w:w="80"/>
              <w:bottom w:type="dxa" w:w="60"/>
              <w:right w:type="dxa" w:w="80"/>
            </w:tcMar>
            <w:vAlign w:val="center"/>
          </w:tcPr>
          <w:p>
            <w:r>
              <w:rPr>
                <w:b w:val="false"/>
                <w:bCs w:val="false"/>
                <w:sz w:val="17"/>
                <w:szCs w:val="17"/>
              </w:rPr>
              <w:t xml:space="preserve">8. En "Certificación Negativa de ANSES", el operador hace clic en Reemplazar PDF (L) —o el botón equivalente de subida, si es la primera carga— y selecciona el archivo (J).</w:t>
            </w:r>
          </w:p>
        </w:tc>
        <w:tc>
          <w:tcPr>
            <w:tcW w:type="dxa" w:w="5040"/>
            <w:tcMar>
              <w:top w:type="dxa" w:w="60"/>
              <w:left w:type="dxa" w:w="80"/>
              <w:bottom w:type="dxa" w:w="60"/>
              <w:right w:type="dxa" w:w="80"/>
            </w:tcMar>
            <w:vAlign w:val="center"/>
          </w:tcPr>
          <w:p>
            <w:r>
              <w:rPr>
                <w:b w:val="false"/>
                <w:bCs w:val="false"/>
                <w:sz w:val="17"/>
                <w:szCs w:val="17"/>
              </w:rPr>
              <w:t xml:space="preserve">9. El sistema decodifica el código de barras y muestra el CUIL detectado (K) con el badge "coincide"/"no coincide" y la fecha de emisión con el badge "vigente (≤30 días)"/"vencido". Ninguno de los dos bloquea el guardado: quedan a criterio del operador.</w:t>
            </w:r>
          </w:p>
        </w:tc>
      </w:tr>
      <w:tr>
        <w:tc>
          <w:tcPr>
            <w:tcW w:type="dxa" w:w="5040"/>
            <w:tcMar>
              <w:top w:type="dxa" w:w="60"/>
              <w:left w:type="dxa" w:w="80"/>
              <w:bottom w:type="dxa" w:w="60"/>
              <w:right w:type="dxa" w:w="80"/>
            </w:tcMar>
            <w:vAlign w:val="center"/>
          </w:tcPr>
          <w:p>
            <w:r>
              <w:rPr>
                <w:b w:val="false"/>
                <w:bCs w:val="false"/>
                <w:sz w:val="17"/>
                <w:szCs w:val="17"/>
              </w:rPr>
              <w:t xml:space="preserve">10. En "Receta médica", el operador hace clic en + Nueva receta (N) y carga Esfera, Cilindro y Eje para OD y OI.</w:t>
            </w:r>
          </w:p>
        </w:tc>
        <w:tc>
          <w:tcPr>
            <w:tcW w:type="dxa" w:w="5040"/>
            <w:tcMar>
              <w:top w:type="dxa" w:w="60"/>
              <w:left w:type="dxa" w:w="80"/>
              <w:bottom w:type="dxa" w:w="60"/>
              <w:right w:type="dxa" w:w="80"/>
            </w:tcMar>
            <w:vAlign w:val="center"/>
          </w:tcPr>
          <w:p>
            <w:r>
              <w:rPr>
                <w:b w:val="false"/>
                <w:bCs w:val="false"/>
                <w:sz w:val="17"/>
                <w:szCs w:val="17"/>
              </w:rPr>
              <w:t xml:space="preserve">11. El sistema agrega la fila a la tabla de recetas (M).</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2a. DNI duplicado: el sistema rechaza el alta con un mensaje de error.</w:t>
      </w:r>
    </w:p>
    <w:p>
      <w:pPr>
        <w:pStyle w:val="ListParagraph"/>
        <w:numPr>
          <w:ilvl w:val="0"/>
          <w:numId w:val="1"/>
        </w:numPr>
        <w:spacing w:after="70"/>
      </w:pPr>
      <w:r>
        <w:t xml:space="preserve">9a. PDF de ANSES no legible / código de barras no encontrado: el sistema informa el error y no completa el CUIL ni la fecha detectados; el operador puede reintentar la carga.</w:t>
      </w:r>
    </w:p>
    <w:p>
      <w:pPr>
        <w:spacing w:after="200"/>
      </w:pPr>
    </w:p>
    <w:p>
      <w:pPr>
        <w:pStyle w:val="Heading1"/>
        <w:spacing w:after="180" w:before="420"/>
      </w:pPr>
      <w:r>
        <w:t xml:space="preserve">RU-04 — Registrar donante y recepción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RU-04 — Registrar donante y recepción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Dar de alta un donante e ingresar al inventario los marcos que dona.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ubica o crea un donante, abre una nueva recepción y carga cada marco recibido (precinto, tipo, material, medidas); al confirmar, el sistema crea los marcos en estado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RF-09, RF-10, RF-11, RF-12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Los marcos quedan disponibles en el inventario (RU-05), vinculados al donante.</w:t>
            </w:r>
          </w:p>
        </w:tc>
      </w:tr>
    </w:tbl>
    <w:p>
      <w:pPr>
        <w:spacing w:after="120"/>
      </w:pPr>
    </w:p>
    <w:p>
      <w:pPr>
        <w:spacing w:after="160"/>
      </w:pPr>
      <w:r>
        <w:rPr>
          <w:i/>
          <w:iCs/>
          <w:color w:val="555555"/>
          <w:sz w:val="20"/>
          <w:szCs w:val="20"/>
        </w:rPr>
        <w:t xml:space="preserve">Pantalla: Donantes — Listado (Figura 5) y Registrar recepción de marcos (Figura 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donante… (A) en el listado.</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donantes (C) en vivo.</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Nuevo donante (B) y carga Nombre / Entidad y Teléfono de contacto.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(D) sobre un donante y abre "Nueva recepción".</w:t>
            </w:r>
          </w:p>
        </w:tc>
        <w:tc>
          <w:tcPr>
            <w:tcW w:type="dxa" w:w="5040"/>
            <w:tcMar>
              <w:top w:type="dxa" w:w="60"/>
              <w:left w:type="dxa" w:w="80"/>
              <w:bottom w:type="dxa" w:w="60"/>
              <w:right w:type="dxa" w:w="80"/>
            </w:tcMar>
            <w:vAlign w:val="center"/>
          </w:tcPr>
          <w:p>
            <w:r>
              <w:rPr>
                <w:b w:val="false"/>
                <w:bCs w:val="false"/>
                <w:sz w:val="17"/>
                <w:szCs w:val="17"/>
              </w:rPr>
              <w:t xml:space="preserve">5. El sistema muestra el formulario de recepción con Nombre / Entidad (A) y Teléfono de contacto (B) precargados.</w:t>
            </w:r>
          </w:p>
        </w:tc>
      </w:tr>
      <w:tr>
        <w:tc>
          <w:tcPr>
            <w:tcW w:type="dxa" w:w="5040"/>
            <w:tcMar>
              <w:top w:type="dxa" w:w="60"/>
              <w:left w:type="dxa" w:w="80"/>
              <w:bottom w:type="dxa" w:w="60"/>
              <w:right w:type="dxa" w:w="80"/>
            </w:tcMar>
            <w:vAlign w:val="center"/>
          </w:tcPr>
          <w:p>
            <w:r>
              <w:rPr>
                <w:b w:val="false"/>
                <w:bCs w:val="false"/>
                <w:sz w:val="17"/>
                <w:szCs w:val="17"/>
              </w:rPr>
              <w:t xml:space="preserve">6. Por cada marco recibido, hace clic en + Agregar marco (D) y completa Precinto, Tipo, Material y Medidas en la tabla (C) —el precinto es el identificador único que no se repite.</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7. Hace clic en Confirmar recepción (E).</w:t>
            </w:r>
          </w:p>
        </w:tc>
        <w:tc>
          <w:tcPr>
            <w:tcW w:type="dxa" w:w="5040"/>
            <w:tcMar>
              <w:top w:type="dxa" w:w="60"/>
              <w:left w:type="dxa" w:w="80"/>
              <w:bottom w:type="dxa" w:w="60"/>
              <w:right w:type="dxa" w:w="80"/>
            </w:tcMar>
            <w:vAlign w:val="center"/>
          </w:tcPr>
          <w:p>
            <w:r>
              <w:rPr>
                <w:b w:val="false"/>
                <w:bCs w:val="false"/>
                <w:sz w:val="17"/>
                <w:szCs w:val="17"/>
              </w:rPr>
              <w:t xml:space="preserve">8. El sistema crea cada marco en estado AVAILABLE.</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7a. Precinto duplicado: el sistema rechaza la fila con ese precinto y pide corregirlo antes de confirmar.</w:t>
      </w:r>
    </w:p>
    <w:p>
      <w:pPr>
        <w:spacing w:after="200"/>
      </w:pPr>
    </w:p>
    <w:p>
      <w:pPr>
        <w:pStyle w:val="Heading1"/>
        <w:spacing w:after="180" w:before="420"/>
      </w:pPr>
      <w:r>
        <w:t xml:space="preserve">RU-05 — Consultar inventario de marcos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RU-05 — Consultar inventario de marcos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Ubicar rápidamente un marco disponible o revisar el estado de cualquier marco del inventario.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lista completa de marcos con su estado (disponible, asignado, en óptica, descartado), la filtra por precinto o estado, y accede al detalle de un marco o carga uno nuevo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RF-13 (Inventario en tiempo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operador ubica el marco que necesita para una asignación (RU-06).</w:t>
            </w:r>
          </w:p>
        </w:tc>
      </w:tr>
    </w:tbl>
    <w:p>
      <w:pPr>
        <w:spacing w:after="120"/>
      </w:pPr>
    </w:p>
    <w:p>
      <w:pPr>
        <w:spacing w:after="160"/>
      </w:pPr>
      <w:r>
        <w:rPr>
          <w:i/>
          <w:iCs/>
          <w:color w:val="555555"/>
          <w:sz w:val="20"/>
          <w:szCs w:val="20"/>
        </w:rPr>
        <w:t xml:space="preserve">Pantalla: Inventario de marcos (Figura 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entra a "Marcos / Inventario".</w:t>
            </w:r>
          </w:p>
        </w:tc>
        <w:tc>
          <w:tcPr>
            <w:tcW w:type="dxa" w:w="5040"/>
            <w:tcMar>
              <w:top w:type="dxa" w:w="60"/>
              <w:left w:type="dxa" w:w="80"/>
              <w:bottom w:type="dxa" w:w="60"/>
              <w:right w:type="dxa" w:w="80"/>
            </w:tcMar>
            <w:vAlign w:val="center"/>
          </w:tcPr>
          <w:p>
            <w:r>
              <w:rPr>
                <w:b w:val="false"/>
                <w:bCs w:val="false"/>
                <w:sz w:val="17"/>
                <w:szCs w:val="17"/>
              </w:rPr>
              <w:t xml:space="preserve">2. El sistema lista los marcos (D) con Precinto, Tipo, Material, Medidas y Estado (E, badge: Disponible/Asignado/En óptica/Descartado).</w:t>
            </w:r>
          </w:p>
        </w:tc>
      </w:tr>
      <w:tr>
        <w:tc>
          <w:tcPr>
            <w:tcW w:type="dxa" w:w="5040"/>
            <w:tcMar>
              <w:top w:type="dxa" w:w="60"/>
              <w:left w:type="dxa" w:w="80"/>
              <w:bottom w:type="dxa" w:w="60"/>
              <w:right w:type="dxa" w:w="80"/>
            </w:tcMar>
            <w:vAlign w:val="center"/>
          </w:tcPr>
          <w:p>
            <w:r>
              <w:rPr>
                <w:b w:val="false"/>
                <w:bCs w:val="false"/>
                <w:sz w:val="17"/>
                <w:szCs w:val="17"/>
              </w:rPr>
              <w:t xml:space="preserve">3. El operador filtra con Buscar por precinto… (A) o el selector de estado (B).</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Ver (F) para el detalle de un marco.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 Cargar marco a mano (C) para dar de alta uno sin pasar por una recepción de donación.</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RU-06 — Asignar marco a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RU-06 —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Elegir, de entre los marcos disponibles, el más compatible con la receta del beneficiario y reservarlo para él.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ejecuta el algoritmo de match entre la receta del beneficiario y los marcos disponibles, ordenándolos por compatibilidad; el operador confirma la asignación sobre el marco elegido y el sistema lo descuenta del inventario disponible.</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RF-14 (Algoritmo de match receta↔marco), RF-15 (Asignar marco a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Asignación creada, visible en la trazabilidad (RU-07); el marco queda ASSIGNED.</w:t>
            </w:r>
          </w:p>
        </w:tc>
      </w:tr>
    </w:tbl>
    <w:p>
      <w:pPr>
        <w:spacing w:after="120"/>
      </w:pPr>
    </w:p>
    <w:p>
      <w:pPr>
        <w:spacing w:after="160"/>
      </w:pPr>
      <w:r>
        <w:rPr>
          <w:i/>
          <w:iCs/>
          <w:color w:val="555555"/>
          <w:sz w:val="20"/>
          <w:szCs w:val="20"/>
        </w:rPr>
        <w:t xml:space="preserve">Pantalla: Asignación — Match y asignar marco (Figura 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abre "Asignaciones / Nueva asignación" para el beneficiario.</w:t>
            </w:r>
          </w:p>
        </w:tc>
        <w:tc>
          <w:tcPr>
            <w:tcW w:type="dxa" w:w="5040"/>
            <w:tcMar>
              <w:top w:type="dxa" w:w="60"/>
              <w:left w:type="dxa" w:w="80"/>
              <w:bottom w:type="dxa" w:w="60"/>
              <w:right w:type="dxa" w:w="80"/>
            </w:tcMar>
            <w:vAlign w:val="center"/>
          </w:tcPr>
          <w:p>
            <w:r>
              <w:rPr>
                <w:b w:val="false"/>
                <w:bCs w:val="false"/>
                <w:sz w:val="17"/>
                <w:szCs w:val="17"/>
              </w:rPr>
              <w:t xml:space="preserve">2. El sistema muestra la receta del beneficiario (A) —Esfera, Cilindro y Eje por ojo— y ejecuta el match, listando los marcos candidatos (B) ordenados por compatibilidad (C, badge Alta/Media).</w:t>
            </w:r>
          </w:p>
        </w:tc>
      </w:tr>
      <w:tr>
        <w:tc>
          <w:tcPr>
            <w:tcW w:type="dxa" w:w="5040"/>
            <w:tcMar>
              <w:top w:type="dxa" w:w="60"/>
              <w:left w:type="dxa" w:w="80"/>
              <w:bottom w:type="dxa" w:w="60"/>
              <w:right w:type="dxa" w:w="80"/>
            </w:tcMar>
            <w:vAlign w:val="center"/>
          </w:tcPr>
          <w:p>
            <w:r>
              <w:rPr>
                <w:b w:val="false"/>
                <w:bCs w:val="false"/>
                <w:sz w:val="17"/>
                <w:szCs w:val="17"/>
              </w:rPr>
              <w:t xml:space="preserve">3. El operador hace clic en Asignar (D) sobre el marco elegido.</w:t>
            </w:r>
          </w:p>
        </w:tc>
        <w:tc>
          <w:tcPr>
            <w:tcW w:type="dxa" w:w="5040"/>
            <w:tcMar>
              <w:top w:type="dxa" w:w="60"/>
              <w:left w:type="dxa" w:w="80"/>
              <w:bottom w:type="dxa" w:w="60"/>
              <w:right w:type="dxa" w:w="80"/>
            </w:tcMar>
            <w:vAlign w:val="center"/>
          </w:tcPr>
          <w:p>
            <w:r>
              <w:rPr>
                <w:b w:val="false"/>
                <w:bCs w:val="false"/>
                <w:sz w:val="17"/>
                <w:szCs w:val="17"/>
              </w:rPr>
              <w:t xml:space="preserve">4. El sistema crea la asignación y descuenta el marco del inventario disponible (queda ASSIGNED).</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2a. Sin marcos compatibles: la lista aparece vacía; el operador puede volver más adelante cuando ingrese una donación compatible.</w:t>
      </w:r>
    </w:p>
    <w:p>
      <w:pPr>
        <w:pStyle w:val="ListParagraph"/>
        <w:numPr>
          <w:ilvl w:val="0"/>
          <w:numId w:val="1"/>
        </w:numPr>
        <w:spacing w:after="70"/>
      </w:pPr>
      <w:r>
        <w:t xml:space="preserve">4a. El marco elegido dejó de estar disponible (otro operador lo asignó primero): el sistema rechaza la asignación con un mensaje y refresca la lista.</w:t>
      </w:r>
    </w:p>
    <w:p>
      <w:pPr>
        <w:spacing w:after="200"/>
      </w:pPr>
    </w:p>
    <w:p>
      <w:pPr>
        <w:pStyle w:val="Heading1"/>
        <w:spacing w:after="180" w:before="420"/>
      </w:pPr>
      <w:r>
        <w:t xml:space="preserve">RU-07 — Consultar trazabilidad de la asignación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RU-07 — Consultar trazabilidad de la asignación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Conocer en qué etapa del circuito se encuentra un par de anteojos ya asignado.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la línea de tiempo completa de la asignación —marco asignado, enviado a óptica, retornado con cristales, entregado— con fecha y responsable de cada hito, y el estado actual.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RF-16 (Trazabilidad end-to-end)</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Trazabilidad de la asignación (Figura 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abre la asignación desde su detalle.</w:t>
            </w:r>
          </w:p>
        </w:tc>
        <w:tc>
          <w:tcPr>
            <w:tcW w:type="dxa" w:w="5040"/>
            <w:tcMar>
              <w:top w:type="dxa" w:w="60"/>
              <w:left w:type="dxa" w:w="80"/>
              <w:bottom w:type="dxa" w:w="60"/>
              <w:right w:type="dxa" w:w="80"/>
            </w:tcMar>
            <w:vAlign w:val="center"/>
          </w:tcPr>
          <w:p>
            <w:r>
              <w:rPr>
                <w:b w:val="false"/>
                <w:bCs w:val="false"/>
                <w:sz w:val="17"/>
                <w:szCs w:val="17"/>
              </w:rPr>
              <w:t xml:space="preserve">2. El sistema muestra la línea de tiempo (A): asignado → enviado a óptica → retornado con cristales → entregado, cada uno con fecha y responsable, y el estado actual como badge (B, p. ej. "Entregado").</w:t>
            </w:r>
          </w:p>
        </w:tc>
      </w:tr>
    </w:tbl>
    <w:p>
      <w:pPr>
        <w:spacing w:after="200"/>
      </w:pPr>
    </w:p>
    <w:p>
      <w:pPr>
        <w:pStyle w:val="Heading1"/>
        <w:spacing w:after="180" w:before="420"/>
      </w:pPr>
      <w:r>
        <w:t xml:space="preserve">RU-08 — Usar el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RU-08 — Usar el probador virtual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Previsualizar cómo le quedarían distintos marcos al beneficiario antes de asignarle uno.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usuario toma o sube una foto estática; MediaPipe Face Mesh detecta el rostro y el sistema superpone en 2D el marco elegido de la grilla de disponibles, permitiendo ajustar manualmente rotación y altura.</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RF-17, RF-18, RF-19; RNF-04 (Compatibilidad del probador virtual con gama baja)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(previsualización, no persiste datos).</w:t>
            </w:r>
          </w:p>
        </w:tc>
      </w:tr>
    </w:tbl>
    <w:p>
      <w:pPr>
        <w:spacing w:after="120"/>
      </w:pPr>
    </w:p>
    <w:p>
      <w:pPr>
        <w:spacing w:after="160"/>
      </w:pPr>
      <w:r>
        <w:rPr>
          <w:i/>
          <w:iCs/>
          <w:color w:val="555555"/>
          <w:sz w:val="20"/>
          <w:szCs w:val="20"/>
        </w:rPr>
        <w:t xml:space="preserve">Pantalla: Probador virtual (Figura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hace clic en Tomar / subir foto (B).</w:t>
            </w:r>
          </w:p>
        </w:tc>
        <w:tc>
          <w:tcPr>
            <w:tcW w:type="dxa" w:w="5040"/>
            <w:tcMar>
              <w:top w:type="dxa" w:w="60"/>
              <w:left w:type="dxa" w:w="80"/>
              <w:bottom w:type="dxa" w:w="60"/>
              <w:right w:type="dxa" w:w="80"/>
            </w:tcMar>
            <w:vAlign w:val="center"/>
          </w:tcPr>
          <w:p>
            <w:r>
              <w:rPr>
                <w:b w:val="false"/>
                <w:bCs w:val="false"/>
                <w:sz w:val="17"/>
                <w:szCs w:val="17"/>
              </w:rPr>
              <w:t xml:space="preserve">2. El sistema carga la foto en el recuadro (A) y MediaPipe Face Mesh detecta el rostro.</w:t>
            </w:r>
          </w:p>
        </w:tc>
      </w:tr>
      <w:tr>
        <w:tc>
          <w:tcPr>
            <w:tcW w:type="dxa" w:w="5040"/>
            <w:tcMar>
              <w:top w:type="dxa" w:w="60"/>
              <w:left w:type="dxa" w:w="80"/>
              <w:bottom w:type="dxa" w:w="60"/>
              <w:right w:type="dxa" w:w="80"/>
            </w:tcMar>
            <w:vAlign w:val="center"/>
          </w:tcPr>
          <w:p>
            <w:r>
              <w:rPr>
                <w:b w:val="false"/>
                <w:bCs w:val="false"/>
                <w:sz w:val="17"/>
                <w:szCs w:val="17"/>
              </w:rPr>
              <w:t xml:space="preserve">3. El usuario elige un marco de la grilla "Marcos disponibles para probar" (C).</w:t>
            </w:r>
          </w:p>
        </w:tc>
        <w:tc>
          <w:tcPr>
            <w:tcW w:type="dxa" w:w="5040"/>
            <w:tcMar>
              <w:top w:type="dxa" w:w="60"/>
              <w:left w:type="dxa" w:w="80"/>
              <w:bottom w:type="dxa" w:w="60"/>
              <w:right w:type="dxa" w:w="80"/>
            </w:tcMar>
            <w:vAlign w:val="center"/>
          </w:tcPr>
          <w:p>
            <w:r>
              <w:rPr>
                <w:b w:val="false"/>
                <w:bCs w:val="false"/>
                <w:sz w:val="17"/>
                <w:szCs w:val="17"/>
              </w:rPr>
              <w:t xml:space="preserve">4. El sistema superpone el marco en 2D sobre la foto y habilita el ajuste manual de Rotación (D) y Altura (E).</w:t>
            </w:r>
          </w:p>
        </w:tc>
      </w:tr>
      <w:tr>
        <w:tc>
          <w:tcPr>
            <w:tcW w:type="dxa" w:w="5040"/>
            <w:tcMar>
              <w:top w:type="dxa" w:w="60"/>
              <w:left w:type="dxa" w:w="80"/>
              <w:bottom w:type="dxa" w:w="60"/>
              <w:right w:type="dxa" w:w="80"/>
            </w:tcMar>
            <w:vAlign w:val="center"/>
          </w:tcPr>
          <w:p>
            <w:r>
              <w:rPr>
                <w:b w:val="false"/>
                <w:bCs w:val="false"/>
                <w:sz w:val="17"/>
                <w:szCs w:val="17"/>
              </w:rPr>
              <w:t xml:space="preserve">5. El usuario ajusta Rotación (D) y/o Altura (E) según lo necesite.</w:t>
            </w:r>
          </w:p>
        </w:tc>
        <w:tc>
          <w:tcPr>
            <w:tcW w:type="dxa" w:w="5040"/>
            <w:tcMar>
              <w:top w:type="dxa" w:w="60"/>
              <w:left w:type="dxa" w:w="80"/>
              <w:bottom w:type="dxa" w:w="60"/>
              <w:right w:type="dxa" w:w="80"/>
            </w:tcMar>
            <w:vAlign w:val="center"/>
          </w:tcPr>
          <w:p>
            <w:r>
              <w:rPr>
                <w:b w:val="false"/>
                <w:bCs w:val="false"/>
                <w:sz w:val="17"/>
                <w:szCs w:val="17"/>
              </w:rPr>
              <w:t xml:space="preserve">6. El sistema actualiza la superposición en tiempo real.</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2a. MediaPipe no disponible (dispositivo o red): el sistema muestra un estado degradado ("probador virtual no disponible en este momento") sin romper el resto de la aplicación.</w:t>
      </w:r>
    </w:p>
    <w:p>
      <w:pPr>
        <w:pStyle w:val="ListParagraph"/>
        <w:numPr>
          <w:ilvl w:val="0"/>
          <w:numId w:val="1"/>
        </w:numPr>
        <w:spacing w:after="70"/>
      </w:pPr>
      <w:r>
        <w:t xml:space="preserve">2b. No se detecta rostro en la foto: el sistema pide subir otra foto.</w:t>
      </w:r>
    </w:p>
    <w:p>
      <w:pPr>
        <w:spacing w:after="200"/>
      </w:pPr>
    </w:p>
    <w:p>
      <w:pPr>
        <w:pStyle w:val="Heading1"/>
        <w:spacing w:after="180" w:before="420"/>
      </w:pPr>
      <w:r>
        <w:t xml:space="preserve">RU-09 — Gestionar turnos (agenda del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RU-09 — Gestionar turnos (agenda del staff)</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Registrar turnos, revisar y aprobar el comprobante del bono contribución de la autogestión, reprogramar o cancelar turnos, y registrar la asistencia del día.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consulta la agenda de turnos, busca por beneficiario, registra un turno nuevo, aprueba o rechaza el comprobante de un turno pendiente de revisión (autogestión), reprograma o cancela un turno confirmado, y marca si el beneficiario asistió o faltó.</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RF-22</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turno queda actualizado; los cambios de estado disparan la notificación correspondiente.</w:t>
            </w:r>
          </w:p>
        </w:tc>
      </w:tr>
    </w:tbl>
    <w:p>
      <w:pPr>
        <w:spacing w:after="120"/>
      </w:pPr>
    </w:p>
    <w:p>
      <w:pPr>
        <w:spacing w:after="160"/>
      </w:pPr>
      <w:r>
        <w:rPr>
          <w:i/>
          <w:iCs/>
          <w:color w:val="555555"/>
          <w:sz w:val="20"/>
          <w:szCs w:val="20"/>
        </w:rPr>
        <w:t xml:space="preserve">Pantalla: Turnos — Agenda del staff (Figura 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276975" cy="39338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busca con Buscar por beneficiario… (A).</w:t>
            </w:r>
          </w:p>
        </w:tc>
        <w:tc>
          <w:tcPr>
            <w:tcW w:type="dxa" w:w="5040"/>
            <w:tcMar>
              <w:top w:type="dxa" w:w="60"/>
              <w:left w:type="dxa" w:w="80"/>
              <w:bottom w:type="dxa" w:w="60"/>
              <w:right w:type="dxa" w:w="80"/>
            </w:tcMar>
            <w:vAlign w:val="center"/>
          </w:tcPr>
          <w:p>
            <w:r>
              <w:rPr>
                <w:b w:val="false"/>
                <w:bCs w:val="false"/>
                <w:sz w:val="17"/>
                <w:szCs w:val="17"/>
              </w:rPr>
              <w:t xml:space="preserve">2. El sistema filtra la tabla de turnos en vivo, mostrando fecha y hora, beneficiario, motivo del turno (atención general o retiro de un marco puntual) y estado (badge).</w:t>
            </w:r>
          </w:p>
        </w:tc>
      </w:tr>
      <w:tr>
        <w:tc>
          <w:tcPr>
            <w:tcW w:type="dxa" w:w="5040"/>
            <w:tcMar>
              <w:top w:type="dxa" w:w="60"/>
              <w:left w:type="dxa" w:w="80"/>
              <w:bottom w:type="dxa" w:w="60"/>
              <w:right w:type="dxa" w:w="80"/>
            </w:tcMar>
            <w:vAlign w:val="center"/>
          </w:tcPr>
          <w:p>
            <w:r>
              <w:rPr>
                <w:b w:val="false"/>
                <w:bCs w:val="false"/>
                <w:sz w:val="17"/>
                <w:szCs w:val="17"/>
              </w:rPr>
              <w:t xml:space="preserve">3. (Alternativa) Hace clic en + Registrar turno (B) y carga fecha, hora y beneficiario.</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Para un turno Aceptado (C), el operador hace clic en Asistió (D) o Faltó (E) el día del turno.</w:t>
            </w:r>
          </w:p>
        </w:tc>
        <w:tc>
          <w:tcPr>
            <w:tcW w:type="dxa" w:w="5040"/>
            <w:tcMar>
              <w:top w:type="dxa" w:w="60"/>
              <w:left w:type="dxa" w:w="80"/>
              <w:bottom w:type="dxa" w:w="60"/>
              <w:right w:type="dxa" w:w="80"/>
            </w:tcMar>
            <w:vAlign w:val="center"/>
          </w:tcPr>
          <w:p>
            <w:r>
              <w:rPr>
                <w:b w:val="false"/>
                <w:bCs w:val="false"/>
                <w:sz w:val="17"/>
                <w:szCs w:val="17"/>
              </w:rPr>
              <w:t xml:space="preserve">El sistema registra la asistencia (COMPLETED/MISSED), estado final para el panel de indicadores.</w:t>
            </w:r>
          </w:p>
        </w:tc>
      </w:tr>
      <w:tr>
        <w:tc>
          <w:tcPr>
            <w:tcW w:type="dxa" w:w="5040"/>
            <w:tcMar>
              <w:top w:type="dxa" w:w="60"/>
              <w:left w:type="dxa" w:w="80"/>
              <w:bottom w:type="dxa" w:w="60"/>
              <w:right w:type="dxa" w:w="80"/>
            </w:tcMar>
            <w:vAlign w:val="center"/>
          </w:tcPr>
          <w:p>
            <w:r>
              <w:rPr>
                <w:b w:val="false"/>
                <w:bCs w:val="false"/>
                <w:sz w:val="17"/>
                <w:szCs w:val="17"/>
              </w:rPr>
              <w:t xml:space="preserve">5. (Alternativa) Hace clic en Reprogramar (F) sobre un turno Aceptado y elige nueva fecha/hora.</w:t>
            </w:r>
          </w:p>
        </w:tc>
        <w:tc>
          <w:tcPr>
            <w:tcW w:type="dxa" w:w="5040"/>
            <w:tcMar>
              <w:top w:type="dxa" w:w="60"/>
              <w:left w:type="dxa" w:w="80"/>
              <w:bottom w:type="dxa" w:w="60"/>
              <w:right w:type="dxa" w:w="80"/>
            </w:tcMar>
            <w:vAlign w:val="center"/>
          </w:tcPr>
          <w:p>
            <w:r>
              <w:rPr>
                <w:b w:val="false"/>
                <w:bCs w:val="false"/>
                <w:sz w:val="17"/>
                <w:szCs w:val="17"/>
              </w:rPr>
              <w:t xml:space="preserve">El sistema actualiza el turno, que permanece SCHEDULED.</w:t>
            </w:r>
          </w:p>
        </w:tc>
      </w:tr>
      <w:tr>
        <w:tc>
          <w:tcPr>
            <w:tcW w:type="dxa" w:w="5040"/>
            <w:tcMar>
              <w:top w:type="dxa" w:w="60"/>
              <w:left w:type="dxa" w:w="80"/>
              <w:bottom w:type="dxa" w:w="60"/>
              <w:right w:type="dxa" w:w="80"/>
            </w:tcMar>
            <w:vAlign w:val="center"/>
          </w:tcPr>
          <w:p>
            <w:r>
              <w:rPr>
                <w:b w:val="false"/>
                <w:bCs w:val="false"/>
                <w:sz w:val="17"/>
                <w:szCs w:val="17"/>
              </w:rPr>
              <w:t xml:space="preserve">6. (Alternativa) Hace clic en Cancelar y confirma el motivo (disponible tanto en un turno Aceptado como en uno Pendiente de revisión, letra J).</w:t>
            </w:r>
          </w:p>
        </w:tc>
        <w:tc>
          <w:tcPr>
            <w:tcW w:type="dxa" w:w="5040"/>
            <w:tcMar>
              <w:top w:type="dxa" w:w="60"/>
              <w:left w:type="dxa" w:w="80"/>
              <w:bottom w:type="dxa" w:w="60"/>
              <w:right w:type="dxa" w:w="80"/>
            </w:tcMar>
            <w:vAlign w:val="center"/>
          </w:tcPr>
          <w:p>
            <w:r>
              <w:rPr>
                <w:b w:val="false"/>
                <w:bCs w:val="false"/>
                <w:sz w:val="17"/>
                <w:szCs w:val="17"/>
              </w:rPr>
              <w:t xml:space="preserve">El sistema pasa el turno a CANCELLED.</w:t>
            </w:r>
          </w:p>
        </w:tc>
      </w:tr>
      <w:tr>
        <w:tc>
          <w:tcPr>
            <w:tcW w:type="dxa" w:w="5040"/>
            <w:tcMar>
              <w:top w:type="dxa" w:w="60"/>
              <w:left w:type="dxa" w:w="80"/>
              <w:bottom w:type="dxa" w:w="60"/>
              <w:right w:type="dxa" w:w="80"/>
            </w:tcMar>
            <w:vAlign w:val="center"/>
          </w:tcPr>
          <w:p>
            <w:r>
              <w:rPr>
                <w:b w:val="false"/>
                <w:bCs w:val="false"/>
                <w:sz w:val="17"/>
                <w:szCs w:val="17"/>
              </w:rPr>
              <w:t xml:space="preserve">7. Para un turno Pendiente de revisión (G, autogestión), el operador abre el comprobante cargado (H) y lo revisa.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8. Si el comprobante corresponde al bono contribución, hace clic en Aprobar (I).</w:t>
            </w:r>
          </w:p>
        </w:tc>
        <w:tc>
          <w:tcPr>
            <w:tcW w:type="dxa" w:w="5040"/>
            <w:tcMar>
              <w:top w:type="dxa" w:w="60"/>
              <w:left w:type="dxa" w:w="80"/>
              <w:bottom w:type="dxa" w:w="60"/>
              <w:right w:type="dxa" w:w="80"/>
            </w:tcMar>
            <w:vAlign w:val="center"/>
          </w:tcPr>
          <w:p>
            <w:r>
              <w:rPr>
                <w:b w:val="false"/>
                <w:bCs w:val="false"/>
                <w:sz w:val="17"/>
                <w:szCs w:val="17"/>
              </w:rPr>
              <w:t xml:space="preserve">9. El sistema pasa el turno a SCHEDULED ("Aceptado") y dispara la notificación de confirmación.</w:t>
            </w:r>
          </w:p>
        </w:tc>
      </w:tr>
    </w:tbl>
    <w:p>
      <w:pPr>
        <w:spacing w:after="200"/>
      </w:pPr>
    </w:p>
    <w:p>
      <w:pPr>
        <w:pStyle w:val="Heading1"/>
        <w:spacing w:after="180" w:before="420"/>
      </w:pPr>
      <w:r>
        <w:t xml:space="preserve">RU-10 — Autogestión del beneficiario: pedir turno y pagar el bono contribución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RU-10 — Autogestión del beneficiario: pedir turno y pagar el bono contribución</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Beneficiario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el beneficiario saque su turno sin asistir presencialmente y cargue el comprobante del bono contribución para que un operador lo revise.</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beneficiario elige una fecha disponible, transfiere el bono contribución a la cuenta de la fundación y sube el comprobante; el turno queda pendiente de revisión hasta que un operador lo aprueba (RU-09). También puede ver su historial de turnos pasados.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RF-20, RF-21 (revisión, reprogramación y cancelación); RNF-01 (Autenticación y autorización, rol APPLICANT)</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Turno pendiente de revisión (o confirmado, si ya fue aprobado), visible en la agenda del staff (RU-09).</w:t>
            </w:r>
          </w:p>
        </w:tc>
      </w:tr>
    </w:tbl>
    <w:p>
      <w:pPr>
        <w:spacing w:after="120"/>
      </w:pPr>
    </w:p>
    <w:p>
      <w:pPr>
        <w:spacing w:after="160"/>
      </w:pPr>
      <w:r>
        <w:rPr>
          <w:i/>
          <w:iCs/>
          <w:color w:val="555555"/>
          <w:sz w:val="20"/>
          <w:szCs w:val="20"/>
        </w:rPr>
        <w:t xml:space="preserve">Pantalla: Autogestión — Mis turnos (Figura 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276975" cy="26384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beneficiario elige una fecha disponible (paso 1 del indicador de progreso, A: "Elegir fecha").</w:t>
            </w:r>
          </w:p>
        </w:tc>
        <w:tc>
          <w:tcPr>
            <w:tcW w:type="dxa" w:w="5040"/>
            <w:tcMar>
              <w:top w:type="dxa" w:w="60"/>
              <w:left w:type="dxa" w:w="80"/>
              <w:bottom w:type="dxa" w:w="60"/>
              <w:right w:type="dxa" w:w="80"/>
            </w:tcMar>
            <w:vAlign w:val="center"/>
          </w:tcPr>
          <w:p>
            <w:r>
              <w:rPr>
                <w:b w:val="false"/>
                <w:bCs w:val="false"/>
                <w:sz w:val="17"/>
                <w:szCs w:val="17"/>
              </w:rPr>
              <w:t xml:space="preserve">2. El sistema crea el turno en estado PENDING_PAYMENT y avanza al paso 2 ("Confirmar con bono contribución"), mostrando los datos de la cuenta de la fundación para transferir.</w:t>
            </w:r>
          </w:p>
        </w:tc>
      </w:tr>
      <w:tr>
        <w:tc>
          <w:tcPr>
            <w:tcW w:type="dxa" w:w="5040"/>
            <w:tcMar>
              <w:top w:type="dxa" w:w="60"/>
              <w:left w:type="dxa" w:w="80"/>
              <w:bottom w:type="dxa" w:w="60"/>
              <w:right w:type="dxa" w:w="80"/>
            </w:tcMar>
            <w:vAlign w:val="center"/>
          </w:tcPr>
          <w:p>
            <w:r>
              <w:rPr>
                <w:b w:val="false"/>
                <w:bCs w:val="false"/>
                <w:sz w:val="17"/>
                <w:szCs w:val="17"/>
              </w:rPr>
              <w:t xml:space="preserve">3. El beneficiario transfiere el bono contribución por fuera del sistema y sube el comprobante.</w:t>
            </w:r>
          </w:p>
        </w:tc>
        <w:tc>
          <w:tcPr>
            <w:tcW w:type="dxa" w:w="5040"/>
            <w:tcMar>
              <w:top w:type="dxa" w:w="60"/>
              <w:left w:type="dxa" w:w="80"/>
              <w:bottom w:type="dxa" w:w="60"/>
              <w:right w:type="dxa" w:w="80"/>
            </w:tcMar>
            <w:vAlign w:val="center"/>
          </w:tcPr>
          <w:p>
            <w:r>
              <w:rPr>
                <w:b w:val="false"/>
                <w:bCs w:val="false"/>
                <w:sz w:val="17"/>
                <w:szCs w:val="17"/>
              </w:rPr>
              <w:t xml:space="preserve">4. El sistema valida el archivo y pasa el turno a PENDING_REVIEW (B, badge "Pendiente de revisión"), avanzando al paso 3 ("En revisión", A) — todavía no se notifica ni queda confirmado. El panel muestra la nota de espera (C).</w:t>
            </w:r>
          </w:p>
        </w:tc>
      </w:tr>
      <w:tr>
        <w:tc>
          <w:tcPr>
            <w:tcW w:type="dxa" w:w="5040"/>
            <w:tcMar>
              <w:top w:type="dxa" w:w="60"/>
              <w:left w:type="dxa" w:w="80"/>
              <w:bottom w:type="dxa" w:w="60"/>
              <w:right w:type="dxa" w:w="80"/>
            </w:tcMar>
            <w:vAlign w:val="center"/>
          </w:tcPr>
          <w:p>
            <w:r>
              <w:rPr>
                <w:b w:val="false"/>
                <w:bCs w:val="false"/>
                <w:sz w:val="17"/>
                <w:szCs w:val="17"/>
              </w:rPr>
              <w:t xml:space="preserve">5. (Cuando un operador aprueba el comprobante en RU-09)</w:t>
            </w:r>
          </w:p>
        </w:tc>
        <w:tc>
          <w:tcPr>
            <w:tcW w:type="dxa" w:w="5040"/>
            <w:tcMar>
              <w:top w:type="dxa" w:w="60"/>
              <w:left w:type="dxa" w:w="80"/>
              <w:bottom w:type="dxa" w:w="60"/>
              <w:right w:type="dxa" w:w="80"/>
            </w:tcMar>
            <w:vAlign w:val="center"/>
          </w:tcPr>
          <w:p>
            <w:r>
              <w:rPr>
                <w:b w:val="false"/>
                <w:bCs w:val="false"/>
                <w:sz w:val="17"/>
                <w:szCs w:val="17"/>
              </w:rPr>
              <w:t xml:space="preserve">El turno pasa a SCHEDULED (paso 4, "Turno aceptado") y el sistema dispara la notificación de confirmación.</w:t>
            </w:r>
          </w:p>
        </w:tc>
      </w:tr>
      <w:tr>
        <w:tc>
          <w:tcPr>
            <w:tcW w:type="dxa" w:w="5040"/>
            <w:tcMar>
              <w:top w:type="dxa" w:w="60"/>
              <w:left w:type="dxa" w:w="80"/>
              <w:bottom w:type="dxa" w:w="60"/>
              <w:right w:type="dxa" w:w="80"/>
            </w:tcMar>
            <w:vAlign w:val="center"/>
          </w:tcPr>
          <w:p>
            <w:r>
              <w:rPr>
                <w:b w:val="false"/>
                <w:bCs w:val="false"/>
                <w:sz w:val="17"/>
                <w:szCs w:val="17"/>
              </w:rPr>
              <w:t xml:space="preserve">6. (Opcional) El beneficiario revisa su Historial (D) de turnos pasados (asistidos/cancelados).</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3a. El beneficiario no sube comprobante: el turno permanece en PENDING_PAYMENT indefinidamente (no bloquea el resto de la app, pero no se confirma ni notifica).</w:t>
      </w:r>
    </w:p>
    <w:p>
      <w:pPr>
        <w:pStyle w:val="ListParagraph"/>
        <w:numPr>
          <w:ilvl w:val="0"/>
          <w:numId w:val="1"/>
        </w:numPr>
        <w:spacing w:after="70"/>
      </w:pPr>
      <w:r>
        <w:t xml:space="preserve">4a. El archivo no es válido, o el PDF no parece un comprobante de pago: el sistema rechaza la carga y el beneficiario puede reintentarla.</w:t>
      </w:r>
    </w:p>
    <w:p>
      <w:pPr>
        <w:pStyle w:val="ListParagraph"/>
        <w:numPr>
          <w:ilvl w:val="0"/>
          <w:numId w:val="1"/>
        </w:numPr>
        <w:spacing w:after="70"/>
      </w:pPr>
      <w:r>
        <w:t xml:space="preserve">5a. El operador encuentra un problema en el comprobante: cancela el turno (RU-09) en lugar de aprobarlo; el sistema lo pasa a CANCELLED y notifica al beneficiario.</w:t>
      </w:r>
    </w:p>
    <w:p>
      <w:pPr>
        <w:spacing w:after="200"/>
      </w:pPr>
    </w:p>
    <w:p>
      <w:pPr>
        <w:pStyle w:val="Heading1"/>
        <w:spacing w:after="180" w:before="420"/>
      </w:pPr>
      <w:r>
        <w:t xml:space="preserve">RU-11 — Gestionar envíos entre sucursales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RU-11 — Gestionar envíos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Operador; 17TRACK como sistema externo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Trazar el traslado de marcos/lotes entre sucursales de punta a punta.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operador registra un envío indicando origen, destino y marcos a trasladar, lo que dispara el registro en 17TRACK; el estado se actualiza automáticamente por webhook, y el operador puede revisar el historial de eventos de cada envío.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RF-23, RF-24, RF-25</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El envío queda trazado punta a punta entre sucursales.</w:t>
            </w:r>
          </w:p>
        </w:tc>
      </w:tr>
    </w:tbl>
    <w:p>
      <w:pPr>
        <w:spacing w:after="120"/>
      </w:pPr>
    </w:p>
    <w:p>
      <w:pPr>
        <w:spacing w:after="160"/>
      </w:pPr>
      <w:r>
        <w:rPr>
          <w:i/>
          <w:iCs/>
          <w:color w:val="555555"/>
          <w:sz w:val="20"/>
          <w:szCs w:val="20"/>
        </w:rPr>
        <w:t xml:space="preserve">Pantalla: Logística — Envíos (Figura 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operador hace clic en + Registrar envío (B), elige origen/destino y los marcos a enviar.</w:t>
            </w:r>
          </w:p>
        </w:tc>
        <w:tc>
          <w:tcPr>
            <w:tcW w:type="dxa" w:w="5040"/>
            <w:tcMar>
              <w:top w:type="dxa" w:w="60"/>
              <w:left w:type="dxa" w:w="80"/>
              <w:bottom w:type="dxa" w:w="60"/>
              <w:right w:type="dxa" w:w="80"/>
            </w:tcMar>
            <w:vAlign w:val="center"/>
          </w:tcPr>
          <w:p>
            <w:r>
              <w:rPr>
                <w:b w:val="false"/>
                <w:bCs w:val="false"/>
                <w:sz w:val="17"/>
                <w:szCs w:val="17"/>
              </w:rPr>
              <w:t xml:space="preserve">2. El sistema registra el envío en 17TRACK y lo agrega a la tabla (C) con su N° de seguimiento.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por N° de seguimiento… (A).</w:t>
            </w:r>
          </w:p>
        </w:tc>
        <w:tc>
          <w:tcPr>
            <w:tcW w:type="dxa" w:w="5040"/>
            <w:tcMar>
              <w:top w:type="dxa" w:w="60"/>
              <w:left w:type="dxa" w:w="80"/>
              <w:bottom w:type="dxa" w:w="60"/>
              <w:right w:type="dxa" w:w="80"/>
            </w:tcMar>
            <w:vAlign w:val="center"/>
          </w:tcPr>
          <w:p>
            <w:r>
              <w:rPr>
                <w:b w:val="false"/>
                <w:bCs w:val="false"/>
                <w:sz w:val="17"/>
                <w:szCs w:val="17"/>
              </w:rPr>
              <w:t xml:space="preserve">4. El sistema filtra la tabla en vivo.</w:t>
            </w:r>
          </w:p>
        </w:tc>
      </w:tr>
      <w:tr>
        <w:tc>
          <w:tcPr>
            <w:tcW w:type="dxa" w:w="5040"/>
            <w:tcMar>
              <w:top w:type="dxa" w:w="60"/>
              <w:left w:type="dxa" w:w="80"/>
              <w:bottom w:type="dxa" w:w="60"/>
              <w:right w:type="dxa" w:w="80"/>
            </w:tcMar>
            <w:vAlign w:val="center"/>
          </w:tcPr>
          <w:p>
            <w:r>
              <w:rPr>
                <w:b w:val="false"/>
                <w:bCs w:val="false"/>
                <w:sz w:val="17"/>
                <w:szCs w:val="17"/>
              </w:rPr>
              <w:t xml:space="preserve">5. El operador observa el estado del envío (D, badge, actualizado automáticamente por el webhook de 17TRACK).</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6. Hace clic en Ver historial (E).</w:t>
            </w:r>
          </w:p>
        </w:tc>
        <w:tc>
          <w:tcPr>
            <w:tcW w:type="dxa" w:w="5040"/>
            <w:tcMar>
              <w:top w:type="dxa" w:w="60"/>
              <w:left w:type="dxa" w:w="80"/>
              <w:bottom w:type="dxa" w:w="60"/>
              <w:right w:type="dxa" w:w="80"/>
            </w:tcMar>
            <w:vAlign w:val="center"/>
          </w:tcPr>
          <w:p>
            <w:r>
              <w:rPr>
                <w:b w:val="false"/>
                <w:bCs w:val="false"/>
                <w:sz w:val="17"/>
                <w:szCs w:val="17"/>
              </w:rPr>
              <w:t xml:space="preserve">7. El sistema muestra el detalle de eventos de ese envío.</w:t>
            </w:r>
          </w:p>
        </w:tc>
      </w:tr>
    </w:tbl>
    <w:p>
      <w:pPr>
        <w:spacing w:after="200"/>
      </w:pPr>
    </w:p>
    <w:p>
      <w:pPr>
        <w:pStyle w:val="Heading1"/>
        <w:spacing w:after="180" w:before="420"/>
      </w:pPr>
      <w:r>
        <w:t xml:space="preserve">RU-12 — Consultar el panel de indicadores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RU-12 — Consultar el panel de indicadores</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Operador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Reportar el impacto social de la fundación con métricas agregadas.</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indicadores agregados (entregas realizadas, beneficiarios atendidos, marcos donados, % de turnos con asistencia) y un gráfico de entregas por mes; el usuario puede cambiar el período para recalcularlos.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RF-26, RF-27</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w:t>
            </w:r>
          </w:p>
        </w:tc>
      </w:tr>
    </w:tbl>
    <w:p>
      <w:pPr>
        <w:spacing w:after="120"/>
      </w:pPr>
    </w:p>
    <w:p>
      <w:pPr>
        <w:spacing w:after="160"/>
      </w:pPr>
      <w:r>
        <w:rPr>
          <w:i/>
          <w:iCs/>
          <w:color w:val="555555"/>
          <w:sz w:val="20"/>
          <w:szCs w:val="20"/>
        </w:rPr>
        <w:t xml:space="preserve">Pantalla: Panel de indicadores de impacto (Figura 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276975" cy="3209925"/>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usuario entra a "Indicadores".</w:t>
            </w:r>
          </w:p>
        </w:tc>
        <w:tc>
          <w:tcPr>
            <w:tcW w:type="dxa" w:w="5040"/>
            <w:tcMar>
              <w:top w:type="dxa" w:w="60"/>
              <w:left w:type="dxa" w:w="80"/>
              <w:bottom w:type="dxa" w:w="60"/>
              <w:right w:type="dxa" w:w="80"/>
            </w:tcMar>
            <w:vAlign w:val="center"/>
          </w:tcPr>
          <w:p>
            <w:r>
              <w:rPr>
                <w:b w:val="false"/>
                <w:bCs w:val="false"/>
                <w:sz w:val="17"/>
                <w:szCs w:val="17"/>
              </w:rPr>
              <w:t xml:space="preserve">2. El sistema muestra los indicadores agregados: Entregas realizadas (B), Beneficiarios atendidos (C), Marcos donados (D) y % de Turnos con asistencia (E), junto con el gráfico de entregas por mes (F).</w:t>
            </w:r>
          </w:p>
        </w:tc>
      </w:tr>
      <w:tr>
        <w:tc>
          <w:tcPr>
            <w:tcW w:type="dxa" w:w="5040"/>
            <w:tcMar>
              <w:top w:type="dxa" w:w="60"/>
              <w:left w:type="dxa" w:w="80"/>
              <w:bottom w:type="dxa" w:w="60"/>
              <w:right w:type="dxa" w:w="80"/>
            </w:tcMar>
            <w:vAlign w:val="center"/>
          </w:tcPr>
          <w:p>
            <w:r>
              <w:rPr>
                <w:b w:val="false"/>
                <w:bCs w:val="false"/>
                <w:sz w:val="17"/>
                <w:szCs w:val="17"/>
              </w:rPr>
              <w:t xml:space="preserve">3. El usuario cambia el selector de período (A, p. ej. "Último trimestre").</w:t>
            </w:r>
          </w:p>
        </w:tc>
        <w:tc>
          <w:tcPr>
            <w:tcW w:type="dxa" w:w="5040"/>
            <w:tcMar>
              <w:top w:type="dxa" w:w="60"/>
              <w:left w:type="dxa" w:w="80"/>
              <w:bottom w:type="dxa" w:w="60"/>
              <w:right w:type="dxa" w:w="80"/>
            </w:tcMar>
            <w:vAlign w:val="center"/>
          </w:tcPr>
          <w:p>
            <w:r>
              <w:rPr>
                <w:b w:val="false"/>
                <w:bCs w:val="false"/>
                <w:sz w:val="17"/>
                <w:szCs w:val="17"/>
              </w:rPr>
              <w:t xml:space="preserve">4. El sistema recalcula los indicadores y el gráfico para ese rango.</w:t>
            </w:r>
          </w:p>
        </w:tc>
      </w:tr>
    </w:tbl>
    <w:p>
      <w:pPr>
        <w:spacing w:after="200"/>
      </w:pPr>
    </w:p>
    <w:p>
      <w:pPr>
        <w:pStyle w:val="Heading1"/>
        <w:spacing w:after="180" w:before="420"/>
      </w:pPr>
      <w:r>
        <w:t xml:space="preserve">RU-13 — Consultar el catálogo público de anteojos de sol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RU-13 — Consultar el catálogo público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Comprador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Permitir que cualquier visitante vea los anteojos de sol disponibles para la venta, sin necesidad de cuenta.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sistema muestra los productos activos del catálogo con foto, nombre y precio; el visitante interesado se comunica con la fundación para coordinar la compra, que un operador registra desde la gestión de stock (RU-14).</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Secundario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RF-28 (Catálogo digital de anteojos de sol)</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Ninguna (consulta de solo lectura; la compra en sí se registra en RU-14).</w:t>
            </w:r>
          </w:p>
        </w:tc>
      </w:tr>
    </w:tbl>
    <w:p>
      <w:pPr>
        <w:spacing w:after="120"/>
      </w:pPr>
    </w:p>
    <w:p>
      <w:pPr>
        <w:spacing w:after="160"/>
      </w:pPr>
      <w:r>
        <w:rPr>
          <w:i/>
          <w:iCs/>
          <w:color w:val="555555"/>
          <w:sz w:val="20"/>
          <w:szCs w:val="20"/>
        </w:rPr>
        <w:t xml:space="preserve">Pantalla: Catálogo público (Figura 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276975" cy="15811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visitante entra al catálogo desde el sitio de la fundación.</w:t>
            </w:r>
          </w:p>
        </w:tc>
        <w:tc>
          <w:tcPr>
            <w:tcW w:type="dxa" w:w="5040"/>
            <w:tcMar>
              <w:top w:type="dxa" w:w="60"/>
              <w:left w:type="dxa" w:w="80"/>
              <w:bottom w:type="dxa" w:w="60"/>
              <w:right w:type="dxa" w:w="80"/>
            </w:tcMar>
            <w:vAlign w:val="center"/>
          </w:tcPr>
          <w:p>
            <w:r>
              <w:rPr>
                <w:b w:val="false"/>
                <w:bCs w:val="false"/>
                <w:sz w:val="17"/>
                <w:szCs w:val="17"/>
              </w:rPr>
              <w:t xml:space="preserve">2. El sistema muestra los productos activos (A) con foto, nombre y precio (B).</w:t>
            </w:r>
          </w:p>
        </w:tc>
      </w:tr>
      <w:tr>
        <w:tc>
          <w:tcPr>
            <w:tcW w:type="dxa" w:w="5040"/>
            <w:tcMar>
              <w:top w:type="dxa" w:w="60"/>
              <w:left w:type="dxa" w:w="80"/>
              <w:bottom w:type="dxa" w:w="60"/>
              <w:right w:type="dxa" w:w="80"/>
            </w:tcMar>
            <w:vAlign w:val="center"/>
          </w:tcPr>
          <w:p>
            <w:r>
              <w:rPr>
                <w:b w:val="false"/>
                <w:bCs w:val="false"/>
                <w:sz w:val="17"/>
                <w:szCs w:val="17"/>
              </w:rPr>
              <w:t xml:space="preserve">3. El visitante interesado se comunica con la fundación para coordinar la compra (C: el catálogo público no procesa pagos online).</w:t>
            </w:r>
          </w:p>
        </w:tc>
        <w:tc>
          <w:tcPr>
            <w:tcW w:type="dxa" w:w="5040"/>
            <w:tcMar>
              <w:top w:type="dxa" w:w="60"/>
              <w:left w:type="dxa" w:w="80"/>
              <w:bottom w:type="dxa" w:w="60"/>
              <w:right w:type="dxa" w:w="80"/>
            </w:tcMar>
            <w:vAlign w:val="center"/>
          </w:tcPr>
          <w:p>
            <w:r>
              <w:rPr>
                <w:b w:val="false"/>
                <w:bCs w:val="false"/>
                <w:sz w:val="17"/>
                <w:szCs w:val="17"/>
              </w:rPr>
              <w:t xml:space="preserve"/>
            </w:r>
          </w:p>
        </w:tc>
      </w:tr>
    </w:tbl>
    <w:p>
      <w:pPr>
        <w:spacing w:after="200"/>
      </w:pPr>
    </w:p>
    <w:p>
      <w:pPr>
        <w:pStyle w:val="Heading1"/>
        <w:spacing w:after="180" w:before="420"/>
      </w:pPr>
      <w:r>
        <w:t xml:space="preserve">RU-14 — Gestionar stock y registrar ventas del catálogo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7680"/>
      </w:tblGrid>
      <w:tr>
        <w:tc>
          <w:tcPr>
            <w:tcW w:type="dxa" w:w="2400"/>
            <w:shd w:fill="F2F2F2" w:color="auto" w:val="clear"/>
            <w:tcMar>
              <w:top w:type="dxa" w:w="60"/>
              <w:left w:type="dxa" w:w="80"/>
              <w:bottom w:type="dxa" w:w="60"/>
              <w:right w:type="dxa" w:w="80"/>
            </w:tcMar>
            <w:vAlign w:val="center"/>
          </w:tcPr>
          <w:p>
            <w:r>
              <w:rPr>
                <w:b/>
                <w:bCs/>
                <w:sz w:val="18"/>
                <w:szCs w:val="18"/>
              </w:rPr>
              <w:t xml:space="preserve">Caso de uso</w:t>
            </w:r>
          </w:p>
        </w:tc>
        <w:tc>
          <w:tcPr>
            <w:tcW w:type="dxa" w:w="7680"/>
            <w:tcMar>
              <w:top w:type="dxa" w:w="60"/>
              <w:left w:type="dxa" w:w="80"/>
              <w:bottom w:type="dxa" w:w="60"/>
              <w:right w:type="dxa" w:w="80"/>
            </w:tcMar>
            <w:vAlign w:val="center"/>
          </w:tcPr>
          <w:p>
            <w:r>
              <w:rPr>
                <w:b w:val="false"/>
                <w:bCs w:val="false"/>
                <w:sz w:val="18"/>
                <w:szCs w:val="18"/>
              </w:rPr>
              <w:t xml:space="preserve">RU-14 — Gestionar stock y registrar ventas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Actores</w:t>
            </w:r>
          </w:p>
        </w:tc>
        <w:tc>
          <w:tcPr>
            <w:tcW w:type="dxa" w:w="7680"/>
            <w:tcMar>
              <w:top w:type="dxa" w:w="60"/>
              <w:left w:type="dxa" w:w="80"/>
              <w:bottom w:type="dxa" w:w="60"/>
              <w:right w:type="dxa" w:w="80"/>
            </w:tcMar>
            <w:vAlign w:val="center"/>
          </w:tcPr>
          <w:p>
            <w:r>
              <w:rPr>
                <w:b w:val="false"/>
                <w:bCs w:val="false"/>
                <w:sz w:val="18"/>
                <w:szCs w:val="18"/>
              </w:rPr>
              <w:t xml:space="preserve">Administrador (gestión de catálogo), Operador (registro de venta)</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Propósito</w:t>
            </w:r>
          </w:p>
        </w:tc>
        <w:tc>
          <w:tcPr>
            <w:tcW w:type="dxa" w:w="7680"/>
            <w:tcMar>
              <w:top w:type="dxa" w:w="60"/>
              <w:left w:type="dxa" w:w="80"/>
              <w:bottom w:type="dxa" w:w="60"/>
              <w:right w:type="dxa" w:w="80"/>
            </w:tcMar>
            <w:vAlign w:val="center"/>
          </w:tcPr>
          <w:p>
            <w:r>
              <w:rPr>
                <w:b w:val="false"/>
                <w:bCs w:val="false"/>
                <w:sz w:val="18"/>
                <w:szCs w:val="18"/>
              </w:rPr>
              <w:t xml:space="preserve">Mantener actualizado el catálogo de anteojos de sol y registrar las ventas descontando stock.</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Resumen</w:t>
            </w:r>
          </w:p>
        </w:tc>
        <w:tc>
          <w:tcPr>
            <w:tcW w:type="dxa" w:w="7680"/>
            <w:tcMar>
              <w:top w:type="dxa" w:w="60"/>
              <w:left w:type="dxa" w:w="80"/>
              <w:bottom w:type="dxa" w:w="60"/>
              <w:right w:type="dxa" w:w="80"/>
            </w:tcMar>
            <w:vAlign w:val="center"/>
          </w:tcPr>
          <w:p>
            <w:r>
              <w:rPr>
                <w:b w:val="false"/>
                <w:bCs w:val="false"/>
                <w:sz w:val="18"/>
                <w:szCs w:val="18"/>
              </w:rPr>
              <w:t xml:space="preserve">El administrador da de alta o edita productos del catálogo (nombre, precio, stock); el operador registra la venta de un producto con stock disponible y el sistema descuenta el stock vendido.</w:t>
            </w:r>
          </w:p>
        </w:tc>
      </w:tr>
      <w:tr>
        <w:tc>
          <w:tcPr>
            <w:tcW w:type="dxa" w:w="2400"/>
            <w:shd w:fill="F2F2F2" w:color="auto" w:val="clear"/>
            <w:tcMar>
              <w:top w:type="dxa" w:w="60"/>
              <w:left w:type="dxa" w:w="80"/>
              <w:bottom w:type="dxa" w:w="60"/>
              <w:right w:type="dxa" w:w="80"/>
            </w:tcMar>
            <w:vAlign w:val="center"/>
          </w:tcPr>
          <w:p>
            <w:r>
              <w:rPr>
                <w:b/>
                <w:bCs/>
                <w:sz w:val="18"/>
                <w:szCs w:val="18"/>
              </w:rPr>
              <w:t xml:space="preserve">Tipo</w:t>
            </w:r>
          </w:p>
        </w:tc>
        <w:tc>
          <w:tcPr>
            <w:tcW w:type="dxa" w:w="7680"/>
            <w:tcMar>
              <w:top w:type="dxa" w:w="60"/>
              <w:left w:type="dxa" w:w="80"/>
              <w:bottom w:type="dxa" w:w="60"/>
              <w:right w:type="dxa" w:w="80"/>
            </w:tcMar>
            <w:vAlign w:val="center"/>
          </w:tcPr>
          <w:p>
            <w:r>
              <w:rPr>
                <w:b w:val="false"/>
                <w:bCs w:val="false"/>
                <w:sz w:val="18"/>
                <w:szCs w:val="18"/>
              </w:rPr>
              <w:t xml:space="preserve">Primario y real</w:t>
            </w:r>
          </w:p>
        </w:tc>
      </w:tr>
      <w:tr>
        <w:tc>
          <w:tcPr>
            <w:tcW w:type="dxa" w:w="2400"/>
            <w:shd w:fill="F2F2F2" w:color="auto" w:val="clear"/>
            <w:tcMar>
              <w:top w:type="dxa" w:w="60"/>
              <w:left w:type="dxa" w:w="80"/>
              <w:bottom w:type="dxa" w:w="60"/>
              <w:right w:type="dxa" w:w="80"/>
            </w:tcMar>
            <w:vAlign w:val="center"/>
          </w:tcPr>
          <w:p>
            <w:r>
              <w:rPr>
                <w:b/>
                <w:bCs/>
                <w:sz w:val="18"/>
                <w:szCs w:val="18"/>
              </w:rPr>
              <w:t xml:space="preserve">Referencias cruzadas</w:t>
            </w:r>
          </w:p>
        </w:tc>
        <w:tc>
          <w:tcPr>
            <w:tcW w:type="dxa" w:w="7680"/>
            <w:tcMar>
              <w:top w:type="dxa" w:w="60"/>
              <w:left w:type="dxa" w:w="80"/>
              <w:bottom w:type="dxa" w:w="60"/>
              <w:right w:type="dxa" w:w="80"/>
            </w:tcMar>
            <w:vAlign w:val="center"/>
          </w:tcPr>
          <w:p>
            <w:r>
              <w:rPr>
                <w:b w:val="false"/>
                <w:bCs w:val="false"/>
                <w:sz w:val="18"/>
                <w:szCs w:val="18"/>
              </w:rPr>
              <w:t xml:space="preserve">RF-29 (Registrar venta con descuento de stock), RF-30 (Gestionar stock del catálogo)</w:t>
            </w:r>
          </w:p>
        </w:tc>
      </w:tr>
      <w:tr>
        <w:tc>
          <w:tcPr>
            <w:tcW w:type="dxa" w:w="2400"/>
            <w:shd w:fill="F2F2F2" w:color="auto" w:val="clear"/>
            <w:tcMar>
              <w:top w:type="dxa" w:w="60"/>
              <w:left w:type="dxa" w:w="80"/>
              <w:bottom w:type="dxa" w:w="60"/>
              <w:right w:type="dxa" w:w="80"/>
            </w:tcMar>
            <w:vAlign w:val="center"/>
          </w:tcPr>
          <w:p>
            <w:r>
              <w:rPr>
                <w:b/>
                <w:bCs/>
                <w:sz w:val="18"/>
                <w:szCs w:val="18"/>
              </w:rPr>
              <w:t xml:space="preserve">Precondiciones</w:t>
            </w:r>
          </w:p>
        </w:tc>
        <w:tc>
          <w:tcPr>
            <w:tcW w:type="dxa" w:w="76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400"/>
            <w:shd w:fill="F2F2F2" w:color="auto" w:val="clear"/>
            <w:tcMar>
              <w:top w:type="dxa" w:w="60"/>
              <w:left w:type="dxa" w:w="80"/>
              <w:bottom w:type="dxa" w:w="60"/>
              <w:right w:type="dxa" w:w="80"/>
            </w:tcMar>
            <w:vAlign w:val="center"/>
          </w:tcPr>
          <w:p>
            <w:r>
              <w:rPr>
                <w:b/>
                <w:bCs/>
                <w:sz w:val="18"/>
                <w:szCs w:val="18"/>
              </w:rPr>
              <w:t xml:space="preserve">Postcondiciones</w:t>
            </w:r>
          </w:p>
        </w:tc>
        <w:tc>
          <w:tcPr>
            <w:tcW w:type="dxa" w:w="7680"/>
            <w:tcMar>
              <w:top w:type="dxa" w:w="60"/>
              <w:left w:type="dxa" w:w="80"/>
              <w:bottom w:type="dxa" w:w="60"/>
              <w:right w:type="dxa" w:w="80"/>
            </w:tcMar>
            <w:vAlign w:val="center"/>
          </w:tcPr>
          <w:p>
            <w:r>
              <w:rPr>
                <w:b w:val="false"/>
                <w:bCs w:val="false"/>
                <w:sz w:val="18"/>
                <w:szCs w:val="18"/>
              </w:rPr>
              <w:t xml:space="preserve">Stock y/o catálogo actualizados.</w:t>
            </w:r>
          </w:p>
        </w:tc>
      </w:tr>
    </w:tbl>
    <w:p>
      <w:pPr>
        <w:spacing w:after="120"/>
      </w:pPr>
    </w:p>
    <w:p>
      <w:pPr>
        <w:spacing w:after="160"/>
      </w:pPr>
      <w:r>
        <w:rPr>
          <w:i/>
          <w:iCs/>
          <w:color w:val="555555"/>
          <w:sz w:val="20"/>
          <w:szCs w:val="20"/>
        </w:rPr>
        <w:t xml:space="preserve">Pantalla: Catálogo — Gestión de stock y ventas (Figura 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276975" cy="2305050"/>
                          </a:xfrm>
                          <a:prstGeom prst="rect">
                            <a:avLst/>
                          </a:prstGeom>
                        </pic:spPr>
                      </pic:pic>
                    </a:graphicData>
                  </a:graphic>
                </wp:inline>
              </w:drawing>
            </w:r>
          </w:p>
        </w:tc>
      </w:tr>
    </w:tbl>
    <w:p>
      <w:pPr>
        <w:spacing w:after="160"/>
      </w:pPr>
    </w:p>
    <w:p>
      <w:pPr>
        <w:spacing w:after="80" w:before="160"/>
      </w:pPr>
      <w:r>
        <w:rPr>
          <w:b/>
          <w:bCs/>
          <w:i/>
          <w:iCs/>
          <w:sz w:val="21"/>
          <w:szCs w:val="21"/>
        </w:rPr>
        <w:t xml:space="preserve">Diálogo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D9D9D9" w:color="auto" w:val="clear"/>
            <w:tcMar>
              <w:top w:type="dxa" w:w="60"/>
              <w:left w:type="dxa" w:w="80"/>
              <w:bottom w:type="dxa" w:w="60"/>
              <w:right w:type="dxa" w:w="80"/>
            </w:tcMar>
            <w:vAlign w:val="center"/>
          </w:tcPr>
          <w:p>
            <w:r>
              <w:rPr>
                <w:b/>
                <w:bCs/>
                <w:sz w:val="18"/>
                <w:szCs w:val="18"/>
              </w:rPr>
              <w:t xml:space="preserve">Acción de los actores</w:t>
            </w:r>
          </w:p>
        </w:tc>
        <w:tc>
          <w:tcPr>
            <w:tcW w:type="dxa" w:w="5040"/>
            <w:shd w:fill="D9D9D9" w:color="auto" w:val="clear"/>
            <w:tcMar>
              <w:top w:type="dxa" w:w="60"/>
              <w:left w:type="dxa" w:w="80"/>
              <w:bottom w:type="dxa" w:w="60"/>
              <w:right w:type="dxa" w:w="80"/>
            </w:tcMar>
            <w:vAlign w:val="center"/>
          </w:tcPr>
          <w:p>
            <w:r>
              <w:rPr>
                <w:b/>
                <w:bCs/>
                <w:sz w:val="18"/>
                <w:szCs w:val="18"/>
              </w:rPr>
              <w:t xml:space="preserve">Respuesta del sistema</w:t>
            </w:r>
          </w:p>
        </w:tc>
      </w:tr>
      <w:tr>
        <w:tc>
          <w:tcPr>
            <w:tcW w:type="dxa" w:w="5040"/>
            <w:tcMar>
              <w:top w:type="dxa" w:w="60"/>
              <w:left w:type="dxa" w:w="80"/>
              <w:bottom w:type="dxa" w:w="60"/>
              <w:right w:type="dxa" w:w="80"/>
            </w:tcMar>
            <w:vAlign w:val="center"/>
          </w:tcPr>
          <w:p>
            <w:r>
              <w:rPr>
                <w:b w:val="false"/>
                <w:bCs w:val="false"/>
                <w:sz w:val="17"/>
                <w:szCs w:val="17"/>
              </w:rPr>
              <w:t xml:space="preserve">1. El administrador hace clic en + Nuevo producto (B) o en Editar (D) sobre uno existente, y carga nombre, precio y stock.</w:t>
            </w:r>
          </w:p>
        </w:tc>
        <w:tc>
          <w:tcPr>
            <w:tcW w:type="dxa" w:w="5040"/>
            <w:tcMar>
              <w:top w:type="dxa" w:w="60"/>
              <w:left w:type="dxa" w:w="80"/>
              <w:bottom w:type="dxa" w:w="60"/>
              <w:right w:type="dxa" w:w="80"/>
            </w:tcMar>
            <w:vAlign w:val="center"/>
          </w:tcPr>
          <w:p>
            <w:r>
              <w:rPr>
                <w:b w:val="false"/>
                <w:bCs w:val="false"/>
                <w:sz w:val="17"/>
                <w:szCs w:val="17"/>
              </w:rPr>
              <w:t xml:space="preserve">2. El sistema guarda el producto y lo muestra en la tabla (C) con su estado (F, badge Activo/Discontinuado).</w:t>
            </w:r>
          </w:p>
        </w:tc>
      </w:tr>
      <w:tr>
        <w:tc>
          <w:tcPr>
            <w:tcW w:type="dxa" w:w="5040"/>
            <w:tcMar>
              <w:top w:type="dxa" w:w="60"/>
              <w:left w:type="dxa" w:w="80"/>
              <w:bottom w:type="dxa" w:w="60"/>
              <w:right w:type="dxa" w:w="80"/>
            </w:tcMar>
            <w:vAlign w:val="center"/>
          </w:tcPr>
          <w:p>
            <w:r>
              <w:rPr>
                <w:b w:val="false"/>
                <w:bCs w:val="false"/>
                <w:sz w:val="17"/>
                <w:szCs w:val="17"/>
              </w:rPr>
              <w:t xml:space="preserve">3. El operador busca con Buscar producto… (A).</w:t>
            </w:r>
          </w:p>
        </w:tc>
        <w:tc>
          <w:tcPr>
            <w:tcW w:type="dxa" w:w="5040"/>
            <w:tcMar>
              <w:top w:type="dxa" w:w="60"/>
              <w:left w:type="dxa" w:w="80"/>
              <w:bottom w:type="dxa" w:w="60"/>
              <w:right w:type="dxa" w:w="80"/>
            </w:tcMar>
            <w:vAlign w:val="center"/>
          </w:tcPr>
          <w:p>
            <w:r>
              <w:rPr>
                <w:b w:val="false"/>
                <w:bCs w:val="false"/>
                <w:sz w:val="17"/>
                <w:szCs w:val="17"/>
              </w:rPr>
              <w:t xml:space="preserve"/>
            </w:r>
          </w:p>
        </w:tc>
      </w:tr>
      <w:tr>
        <w:tc>
          <w:tcPr>
            <w:tcW w:type="dxa" w:w="5040"/>
            <w:tcMar>
              <w:top w:type="dxa" w:w="60"/>
              <w:left w:type="dxa" w:w="80"/>
              <w:bottom w:type="dxa" w:w="60"/>
              <w:right w:type="dxa" w:w="80"/>
            </w:tcMar>
            <w:vAlign w:val="center"/>
          </w:tcPr>
          <w:p>
            <w:r>
              <w:rPr>
                <w:b w:val="false"/>
                <w:bCs w:val="false"/>
                <w:sz w:val="17"/>
                <w:szCs w:val="17"/>
              </w:rPr>
              <w:t xml:space="preserve">4. Hace clic en Registrar venta (E) sobre un producto con stock disponible e indica la cantidad.</w:t>
            </w:r>
          </w:p>
        </w:tc>
        <w:tc>
          <w:tcPr>
            <w:tcW w:type="dxa" w:w="5040"/>
            <w:tcMar>
              <w:top w:type="dxa" w:w="60"/>
              <w:left w:type="dxa" w:w="80"/>
              <w:bottom w:type="dxa" w:w="60"/>
              <w:right w:type="dxa" w:w="80"/>
            </w:tcMar>
            <w:vAlign w:val="center"/>
          </w:tcPr>
          <w:p>
            <w:r>
              <w:rPr>
                <w:b w:val="false"/>
                <w:bCs w:val="false"/>
                <w:sz w:val="17"/>
                <w:szCs w:val="17"/>
              </w:rPr>
              <w:t xml:space="preserve">5. El sistema descuenta el stock vendido.</w:t>
            </w:r>
          </w:p>
        </w:tc>
      </w:tr>
    </w:tbl>
    <w:p>
      <w:pPr>
        <w:spacing w:after="100"/>
      </w:pPr>
    </w:p>
    <w:p>
      <w:pPr>
        <w:spacing w:after="80" w:before="160"/>
      </w:pPr>
      <w:r>
        <w:rPr>
          <w:b/>
          <w:bCs/>
          <w:i/>
          <w:iCs/>
          <w:sz w:val="21"/>
          <w:szCs w:val="21"/>
        </w:rPr>
        <w:t xml:space="preserve">Flujos alternativos</w:t>
      </w:r>
    </w:p>
    <w:p>
      <w:pPr>
        <w:pStyle w:val="ListParagraph"/>
        <w:numPr>
          <w:ilvl w:val="0"/>
          <w:numId w:val="1"/>
        </w:numPr>
        <w:spacing w:after="70"/>
      </w:pPr>
      <w:r>
        <w:t xml:space="preserve">5a. Stock insuficiente: el sistema rechaza la venta con un mensaje y no descuenta stock.</w:t>
      </w:r>
    </w:p>
    <w:p>
      <w:pPr>
        <w:pStyle w:val="ListParagraph"/>
        <w:numPr>
          <w:ilvl w:val="0"/>
          <w:numId w:val="1"/>
        </w:numPr>
        <w:spacing w:after="70"/>
      </w:pPr>
      <w:r>
        <w:t xml:space="preserve">El administrador puede discontinuar un producto (baja lógica) desde Editar (D): pasa a estado "Discontinuado" (F) y deja de aparecer en el catálogo público, sin borrarse del historial de ventas.</w:t>
      </w:r>
    </w:p>
    <w:p>
      <w:pPr>
        <w:spacing w:after="200"/>
      </w:pPr>
    </w:p>
    <w:p>
      <w:pPr>
        <w:pStyle w:val="Heading1"/>
        <w:spacing w:after="180" w:before="420"/>
      </w:pPr>
      <w:r>
        <w:t xml:space="preserve">Notas de trazabilidad</w:t>
      </w:r>
    </w:p>
    <w:p>
      <w:pPr>
        <w:pStyle w:val="ListParagraph"/>
        <w:numPr>
          <w:ilvl w:val="0"/>
          <w:numId w:val="1"/>
        </w:numPr>
        <w:spacing w:after="70"/>
      </w:pPr>
      <w:r>
        <w:t xml:space="preserve">Cada RU referencia explícitamente su(s) RF/RNF del SRS y su(s) UC del Modelo de Casos de Uso, y su mockup en docs/mockups/; cualquier cambio de campo o botón en el mockup debe reflejarse en la captura anotada y en el diálogo de este documento.</w:t>
      </w:r>
    </w:p>
    <w:p>
      <w:pPr>
        <w:pStyle w:val="ListParagraph"/>
        <w:numPr>
          <w:ilvl w:val="0"/>
          <w:numId w:val="1"/>
        </w:numPr>
        <w:spacing w:after="70"/>
      </w:pPr>
      <w:r>
        <w:t xml:space="preserve">Las letras que marcan cada captura identifican un control o dato concreto de la pantalla; se referencian igual en la columna "Acción de los actores" (lo que el usuario toca) y en "Respuesta del sistema" (lo que el sistema muestra o actualiza).</w:t>
      </w:r>
    </w:p>
    <w:p>
      <w:pPr>
        <w:pStyle w:val="ListParagraph"/>
        <w:numPr>
          <w:ilvl w:val="0"/>
          <w:numId w:val="1"/>
        </w:numPr>
        <w:spacing w:after="70"/>
      </w:pPr>
      <w:r>
        <w:t xml:space="preserve">Las validaciones "no bloqueantes, a criterio del operador" (vigencia ANSES, compatibilidad de match) son decisiones de diseño explícitas del SRS (RF-05, RF-14), no omisiones.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Casos de Uso Reales — Banco de Anteojos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f4cdd9009503a5000e1c24f7bc16559a3b1601.png"/><Relationship Id="rId10" Type="http://schemas.openxmlformats.org/officeDocument/2006/relationships/image" Target="media/ce9748515a1936049525af835e5788466a12875b.png"/><Relationship Id="rId11" Type="http://schemas.openxmlformats.org/officeDocument/2006/relationships/image" Target="media/009a72f0ad52c2cf4fc994ebaa0342de716a0a3f.png"/><Relationship Id="rId12" Type="http://schemas.openxmlformats.org/officeDocument/2006/relationships/image" Target="media/c6dca1bf0da7e9c6664dc0ea40589cafc6ac9ef6.png"/><Relationship Id="rId13" Type="http://schemas.openxmlformats.org/officeDocument/2006/relationships/image" Target="media/3a6719c8d7a90cda2a3f44d36bc7efa0b9d55801.png"/><Relationship Id="rId14" Type="http://schemas.openxmlformats.org/officeDocument/2006/relationships/image" Target="media/50d796f1cfc37d9ae921f9784968063ab4d94222.png"/><Relationship Id="rId15" Type="http://schemas.openxmlformats.org/officeDocument/2006/relationships/image" Target="media/52ca2d109a21b28e287c664bf6a55252b40eadf1.png"/><Relationship Id="rId16" Type="http://schemas.openxmlformats.org/officeDocument/2006/relationships/image" Target="media/00b2f6633690a15057461efb67e7e4548e7b9505.png"/><Relationship Id="rId17" Type="http://schemas.openxmlformats.org/officeDocument/2006/relationships/image" Target="media/632b0de519e94c8f04c685d85ec705e612234f89.png"/><Relationship Id="rId18" Type="http://schemas.openxmlformats.org/officeDocument/2006/relationships/image" Target="media/e05effed0013f3822f064dc6f925bd828ce7e28b.png"/><Relationship Id="rId19" Type="http://schemas.openxmlformats.org/officeDocument/2006/relationships/image" Target="media/05f690dbb9fe1e03cf3fe40f892c4c555e658c72.png"/><Relationship Id="rId20" Type="http://schemas.openxmlformats.org/officeDocument/2006/relationships/image" Target="media/454afaacbc2e5465f546efe42f1694b06f99b034.png"/><Relationship Id="rId21" Type="http://schemas.openxmlformats.org/officeDocument/2006/relationships/image" Target="media/01c8e63b56f9ba4f04afae7c63017feb0778eaec.png"/><Relationship Id="rId22" Type="http://schemas.openxmlformats.org/officeDocument/2006/relationships/image" Target="media/1ea55a061b5ba1ced05c88dee303a149af049837.png"/><Relationship Id="rId23" Type="http://schemas.openxmlformats.org/officeDocument/2006/relationships/image" Target="media/0a993e63e460cf1a35b5ee84bf3ec3475b99f67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2026-09-27T22:03:54.220Z</dcterms:created>
  <dcterms:modified xsi:type="dcterms:W3CDTF">2026-09-27T22:03:54.221Z</dcterms:modified>
</cp:coreProperties>
</file>

<file path=docProps/custom.xml><?xml version="1.0" encoding="utf-8"?>
<Properties xmlns="http://schemas.openxmlformats.org/officeDocument/2006/custom-properties" xmlns:vt="http://schemas.openxmlformats.org/officeDocument/2006/docPropsVTypes"/>
</file>