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sz w:val="38"/>
          <w:szCs w:val="38"/>
        </w:rPr>
        <w:t xml:space="preserve">Diagrama de Casos de Uso</w:t>
      </w:r>
    </w:p>
    <w:p>
      <w:pPr>
        <w:spacing w:after="100"/>
        <w:jc w:val="center"/>
      </w:pPr>
      <w:r>
        <w:rPr>
          <w:sz w:val="26"/>
          <w:szCs w:val="26"/>
        </w:rPr>
        <w:t xml:space="preserve">Sistema Banco de Anteojos — Fundación Hacer Futuro</w:t>
      </w:r>
    </w:p>
    <w:p>
      <w:pPr>
        <w:spacing w:after="800"/>
        <w:jc w:val="center"/>
      </w:pPr>
      <w:r>
        <w:rPr>
          <w:i/>
          <w:iCs/>
          <w:sz w:val="20"/>
          <w:szCs w:val="20"/>
        </w:rPr>
        <w:t xml:space="preserve">Proyecto Final UTN-FRT 2026 · ID T045</w:t>
      </w:r>
    </w:p>
    <w:p>
      <w:r>
        <w:br w:type="page"/>
      </w:r>
    </w:p>
    <w:p>
      <w:pPr>
        <w:pStyle w:val="Heading1"/>
        <w:spacing w:after="180" w:before="420"/>
      </w:pPr>
      <w:r>
        <w:t xml:space="preserve">Índice</w:t>
      </w:r>
    </w:p>
    <w:sdt>
      <w:sdtPr>
        <w:alias w:val="Índice"/>
      </w:sdtPr>
      <w:sdtContent>
        <w:p>
          <w:r>
            <w:fldChar w:fldCharType="begin" w:dirty="true"/>
            <w:instrText xml:space="preserve">TOC \h \o "1-1"</w:instrText>
            <w:fldChar w:fldCharType="separate"/>
          </w:r>
        </w:p>
        <w:p>
          <w:r>
            <w:fldChar w:fldCharType="end"/>
          </w:r>
        </w:p>
      </w:sdtContent>
    </w:sdt>
    <w:p>
      <w:r>
        <w:br w:type="page"/>
      </w:r>
    </w:p>
    <w:p>
      <w:pPr>
        <w:spacing w:after="140"/>
      </w:pPr>
      <w:r>
        <w:t xml:space="preserve">Entregable gráfico independiente: diagrama general de casos de uso más un diagrama por módulo. Las especificaciones textuales de cada caso de uso (actor, precondición, flujo, postcondición) están en el documento "Modelos de Casos de Uso"; este documento contiene solo los diagramas UML.</w:t>
      </w:r>
    </w:p>
    <w:p>
      <w:pPr>
        <w:pStyle w:val="Heading1"/>
        <w:spacing w:after="180" w:before="420"/>
      </w:pPr>
      <w:r>
        <w:t xml:space="preserve">Actores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80"/>
      </w:tblGrid>
      <w:tr>
        <w:trPr>
          <w:tblHeader/>
        </w:trPr>
        <w:tc>
          <w:tcPr>
            <w:tcW w:type="dxa" w:w="1800"/>
            <w:shd w:fill="D9D9D9" w:color="auto" w:val="clear"/>
            <w:tcMar>
              <w:top w:type="dxa" w:w="60"/>
              <w:left w:type="dxa" w:w="80"/>
              <w:bottom w:type="dxa" w:w="60"/>
              <w:right w:type="dxa" w:w="80"/>
            </w:tcMar>
            <w:vAlign w:val="center"/>
          </w:tcPr>
          <w:p>
            <w:r>
              <w:rPr>
                <w:b/>
                <w:bCs/>
                <w:sz w:val="18"/>
                <w:szCs w:val="18"/>
              </w:rPr>
              <w:t xml:space="preserve">Actor</w:t>
            </w:r>
          </w:p>
        </w:tc>
        <w:tc>
          <w:tcPr>
            <w:tcW w:type="dxa" w:w="2200"/>
            <w:shd w:fill="D9D9D9" w:color="auto" w:val="clear"/>
            <w:tcMar>
              <w:top w:type="dxa" w:w="60"/>
              <w:left w:type="dxa" w:w="80"/>
              <w:bottom w:type="dxa" w:w="60"/>
              <w:right w:type="dxa" w:w="80"/>
            </w:tcMar>
            <w:vAlign w:val="center"/>
          </w:tcPr>
          <w:p>
            <w:r>
              <w:rPr>
                <w:b/>
                <w:bCs/>
                <w:sz w:val="18"/>
                <w:szCs w:val="18"/>
              </w:rPr>
              <w:t xml:space="preserve">Tipo</w:t>
            </w:r>
          </w:p>
        </w:tc>
        <w:tc>
          <w:tcPr>
            <w:tcW w:type="dxa" w:w="6080"/>
            <w:shd w:fill="D9D9D9" w:color="auto" w:val="clear"/>
            <w:tcMar>
              <w:top w:type="dxa" w:w="60"/>
              <w:left w:type="dxa" w:w="80"/>
              <w:bottom w:type="dxa" w:w="60"/>
              <w:right w:type="dxa" w:w="80"/>
            </w:tcMar>
            <w:vAlign w:val="center"/>
          </w:tcPr>
          <w:p>
            <w:r>
              <w:rPr>
                <w:b/>
                <w:bCs/>
                <w:sz w:val="18"/>
                <w:szCs w:val="18"/>
              </w:rPr>
              <w:t xml:space="preserve">Descripción</w:t>
            </w:r>
          </w:p>
        </w:tc>
      </w:tr>
      <w:tr>
        <w:tc>
          <w:tcPr>
            <w:tcW w:type="dxa" w:w="1800"/>
            <w:tcMar>
              <w:top w:type="dxa" w:w="60"/>
              <w:left w:type="dxa" w:w="80"/>
              <w:bottom w:type="dxa" w:w="60"/>
              <w:right w:type="dxa" w:w="80"/>
            </w:tcMar>
            <w:vAlign w:val="center"/>
          </w:tcPr>
          <w:p>
            <w:r>
              <w:rPr>
                <w:b w:val="false"/>
                <w:bCs w:val="false"/>
                <w:sz w:val="17"/>
                <w:szCs w:val="17"/>
              </w:rPr>
              <w:t xml:space="preserve">Operador</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Personal de la fundación: registra solicitantes, donaciones, asigna marcos, gestiona turnos y envíos.</w:t>
            </w:r>
          </w:p>
        </w:tc>
      </w:tr>
      <w:tr>
        <w:tc>
          <w:tcPr>
            <w:tcW w:type="dxa" w:w="1800"/>
            <w:tcMar>
              <w:top w:type="dxa" w:w="60"/>
              <w:left w:type="dxa" w:w="80"/>
              <w:bottom w:type="dxa" w:w="60"/>
              <w:right w:type="dxa" w:w="80"/>
            </w:tcMar>
            <w:vAlign w:val="center"/>
          </w:tcPr>
          <w:p>
            <w:r>
              <w:rPr>
                <w:b w:val="false"/>
                <w:bCs w:val="false"/>
                <w:sz w:val="17"/>
                <w:szCs w:val="17"/>
              </w:rPr>
              <w:t xml:space="preserve">Administrador</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Además de lo que hace el Operador, administra usuarios, configuración y el catálogo de venta.</w:t>
            </w:r>
          </w:p>
        </w:tc>
      </w:tr>
      <w:tr>
        <w:tc>
          <w:tcPr>
            <w:tcW w:type="dxa" w:w="1800"/>
            <w:tcMar>
              <w:top w:type="dxa" w:w="60"/>
              <w:left w:type="dxa" w:w="80"/>
              <w:bottom w:type="dxa" w:w="60"/>
              <w:right w:type="dxa" w:w="80"/>
            </w:tcMar>
            <w:vAlign w:val="center"/>
          </w:tcPr>
          <w:p>
            <w:r>
              <w:rPr>
                <w:b w:val="false"/>
                <w:bCs w:val="false"/>
                <w:sz w:val="17"/>
                <w:szCs w:val="17"/>
              </w:rPr>
              <w:t xml:space="preserve">Beneficiario</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Solicitante del banco de anteojos; en el portal de autogestión pide turno, sube el comprobante del bono contribución, consulta el estado de su marco y usa el probador virtual.</w:t>
            </w:r>
          </w:p>
        </w:tc>
      </w:tr>
      <w:tr>
        <w:tc>
          <w:tcPr>
            <w:tcW w:type="dxa" w:w="1800"/>
            <w:tcMar>
              <w:top w:type="dxa" w:w="60"/>
              <w:left w:type="dxa" w:w="80"/>
              <w:bottom w:type="dxa" w:w="60"/>
              <w:right w:type="dxa" w:w="80"/>
            </w:tcMar>
            <w:vAlign w:val="center"/>
          </w:tcPr>
          <w:p>
            <w:r>
              <w:rPr>
                <w:b w:val="false"/>
                <w:bCs w:val="false"/>
                <w:sz w:val="17"/>
                <w:szCs w:val="17"/>
              </w:rPr>
              <w:t xml:space="preserve">Comprador</w:t>
            </w:r>
          </w:p>
        </w:tc>
        <w:tc>
          <w:tcPr>
            <w:tcW w:type="dxa" w:w="2200"/>
            <w:tcMar>
              <w:top w:type="dxa" w:w="60"/>
              <w:left w:type="dxa" w:w="80"/>
              <w:bottom w:type="dxa" w:w="60"/>
              <w:right w:type="dxa" w:w="80"/>
            </w:tcMar>
            <w:vAlign w:val="center"/>
          </w:tcPr>
          <w:p>
            <w:r>
              <w:rPr>
                <w:b w:val="false"/>
                <w:bCs w:val="false"/>
                <w:sz w:val="17"/>
                <w:szCs w:val="17"/>
              </w:rPr>
              <w:t xml:space="preserve">Primario, humano</w:t>
            </w:r>
          </w:p>
        </w:tc>
        <w:tc>
          <w:tcPr>
            <w:tcW w:type="dxa" w:w="6080"/>
            <w:tcMar>
              <w:top w:type="dxa" w:w="60"/>
              <w:left w:type="dxa" w:w="80"/>
              <w:bottom w:type="dxa" w:w="60"/>
              <w:right w:type="dxa" w:w="80"/>
            </w:tcMar>
            <w:vAlign w:val="center"/>
          </w:tcPr>
          <w:p>
            <w:r>
              <w:rPr>
                <w:b w:val="false"/>
                <w:bCs w:val="false"/>
                <w:sz w:val="17"/>
                <w:szCs w:val="17"/>
              </w:rPr>
              <w:t xml:space="preserve">Público general que navega el catálogo de anteojos de sol (sin necesidad de cuenta).</w:t>
            </w:r>
          </w:p>
        </w:tc>
      </w:tr>
      <w:tr>
        <w:tc>
          <w:tcPr>
            <w:tcW w:type="dxa" w:w="1800"/>
            <w:tcMar>
              <w:top w:type="dxa" w:w="60"/>
              <w:left w:type="dxa" w:w="80"/>
              <w:bottom w:type="dxa" w:w="60"/>
              <w:right w:type="dxa" w:w="80"/>
            </w:tcMar>
            <w:vAlign w:val="center"/>
          </w:tcPr>
          <w:p>
            <w:r>
              <w:rPr>
                <w:b w:val="false"/>
                <w:bCs w:val="false"/>
                <w:sz w:val="17"/>
                <w:szCs w:val="17"/>
              </w:rPr>
              <w:t xml:space="preserve">RENAPER (SID)</w:t>
            </w:r>
          </w:p>
        </w:tc>
        <w:tc>
          <w:tcPr>
            <w:tcW w:type="dxa" w:w="2200"/>
            <w:tcMar>
              <w:top w:type="dxa" w:w="60"/>
              <w:left w:type="dxa" w:w="80"/>
              <w:bottom w:type="dxa" w:w="60"/>
              <w:right w:type="dxa" w:w="80"/>
            </w:tcMar>
            <w:vAlign w:val="center"/>
          </w:tcPr>
          <w:p>
            <w:r>
              <w:rPr>
                <w:b w:val="false"/>
                <w:bCs w:val="false"/>
                <w:sz w:val="17"/>
                <w:szCs w:val="17"/>
              </w:rPr>
              <w:t xml:space="preserve">Secundario, sistema externo</w:t>
            </w:r>
          </w:p>
        </w:tc>
        <w:tc>
          <w:tcPr>
            <w:tcW w:type="dxa" w:w="6080"/>
            <w:tcMar>
              <w:top w:type="dxa" w:w="60"/>
              <w:left w:type="dxa" w:w="80"/>
              <w:bottom w:type="dxa" w:w="60"/>
              <w:right w:type="dxa" w:w="80"/>
            </w:tcMar>
            <w:vAlign w:val="center"/>
          </w:tcPr>
          <w:p>
            <w:r>
              <w:rPr>
                <w:b w:val="false"/>
                <w:bCs w:val="false"/>
                <w:sz w:val="17"/>
                <w:szCs w:val="17"/>
              </w:rPr>
              <w:t xml:space="preserve">Valida la identidad del solicitante a partir del DNI.</w:t>
            </w:r>
          </w:p>
        </w:tc>
      </w:tr>
      <w:tr>
        <w:tc>
          <w:tcPr>
            <w:tcW w:type="dxa" w:w="1800"/>
            <w:tcMar>
              <w:top w:type="dxa" w:w="60"/>
              <w:left w:type="dxa" w:w="80"/>
              <w:bottom w:type="dxa" w:w="60"/>
              <w:right w:type="dxa" w:w="80"/>
            </w:tcMar>
            <w:vAlign w:val="center"/>
          </w:tcPr>
          <w:p>
            <w:r>
              <w:rPr>
                <w:b w:val="false"/>
                <w:bCs w:val="false"/>
                <w:sz w:val="17"/>
                <w:szCs w:val="17"/>
              </w:rPr>
              <w:t xml:space="preserve">17TRACK</w:t>
            </w:r>
          </w:p>
        </w:tc>
        <w:tc>
          <w:tcPr>
            <w:tcW w:type="dxa" w:w="2200"/>
            <w:tcMar>
              <w:top w:type="dxa" w:w="60"/>
              <w:left w:type="dxa" w:w="80"/>
              <w:bottom w:type="dxa" w:w="60"/>
              <w:right w:type="dxa" w:w="80"/>
            </w:tcMar>
            <w:vAlign w:val="center"/>
          </w:tcPr>
          <w:p>
            <w:r>
              <w:rPr>
                <w:b w:val="false"/>
                <w:bCs w:val="false"/>
                <w:sz w:val="17"/>
                <w:szCs w:val="17"/>
              </w:rPr>
              <w:t xml:space="preserve">Secundario, sistema externo</w:t>
            </w:r>
          </w:p>
        </w:tc>
        <w:tc>
          <w:tcPr>
            <w:tcW w:type="dxa" w:w="6080"/>
            <w:tcMar>
              <w:top w:type="dxa" w:w="60"/>
              <w:left w:type="dxa" w:w="80"/>
              <w:bottom w:type="dxa" w:w="60"/>
              <w:right w:type="dxa" w:w="80"/>
            </w:tcMar>
            <w:vAlign w:val="center"/>
          </w:tcPr>
          <w:p>
            <w:r>
              <w:rPr>
                <w:b w:val="false"/>
                <w:bCs w:val="false"/>
                <w:sz w:val="17"/>
                <w:szCs w:val="17"/>
              </w:rPr>
              <w:t xml:space="preserve">Registra y notifica (webhook) el estado de los envíos de Vía Cargo.</w:t>
            </w:r>
          </w:p>
        </w:tc>
      </w:tr>
    </w:tbl>
    <w:p>
      <w:pPr>
        <w:pStyle w:val="Heading1"/>
        <w:spacing w:after="180" w:before="420"/>
      </w:pPr>
      <w:r>
        <w:t xml:space="preserve">Diagrama general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76975" cy="4581525"/>
                          </a:xfrm>
                          <a:prstGeom prst="rect">
                            <a:avLst/>
                          </a:prstGeom>
                        </pic:spPr>
                      </pic:pic>
                    </a:graphicData>
                  </a:graphic>
                </wp:inline>
              </w:drawing>
            </w:r>
          </w:p>
        </w:tc>
      </w:tr>
    </w:tbl>
    <w:p>
      <w:pPr>
        <w:pStyle w:val="Heading1"/>
        <w:spacing w:after="180" w:before="420"/>
      </w:pPr>
      <w:r>
        <w:t xml:space="preserve">Módulo 1 — Solicitantes y Validación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76975" cy="4886325"/>
                          </a:xfrm>
                          <a:prstGeom prst="rect">
                            <a:avLst/>
                          </a:prstGeom>
                        </pic:spPr>
                      </pic:pic>
                    </a:graphicData>
                  </a:graphic>
                </wp:inline>
              </w:drawing>
            </w:r>
          </w:p>
        </w:tc>
      </w:tr>
    </w:tbl>
    <w:p>
      <w:pPr>
        <w:pStyle w:val="Heading1"/>
        <w:spacing w:after="180" w:before="420"/>
      </w:pPr>
      <w:r>
        <w:t xml:space="preserve">Módulo 2 — Donaciones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76975" cy="2752725"/>
                          </a:xfrm>
                          <a:prstGeom prst="rect">
                            <a:avLst/>
                          </a:prstGeom>
                        </pic:spPr>
                      </pic:pic>
                    </a:graphicData>
                  </a:graphic>
                </wp:inline>
              </w:drawing>
            </w:r>
          </w:p>
        </w:tc>
      </w:tr>
    </w:tbl>
    <w:p>
      <w:pPr>
        <w:pStyle w:val="Heading1"/>
        <w:spacing w:after="180" w:before="420"/>
      </w:pPr>
      <w:r>
        <w:t xml:space="preserve">Módulo 3 — Inventario, Asignación y Trazabilidad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76975" cy="2752725"/>
                          </a:xfrm>
                          <a:prstGeom prst="rect">
                            <a:avLst/>
                          </a:prstGeom>
                        </pic:spPr>
                      </pic:pic>
                    </a:graphicData>
                  </a:graphic>
                </wp:inline>
              </w:drawing>
            </w:r>
          </w:p>
        </w:tc>
      </w:tr>
    </w:tbl>
    <w:p>
      <w:pPr>
        <w:pStyle w:val="Heading1"/>
        <w:spacing w:after="180" w:before="420"/>
      </w:pPr>
      <w:r>
        <w:t xml:space="preserve">Módulo 4 — Probador Virtual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76975" cy="2219325"/>
                          </a:xfrm>
                          <a:prstGeom prst="rect">
                            <a:avLst/>
                          </a:prstGeom>
                        </pic:spPr>
                      </pic:pic>
                    </a:graphicData>
                  </a:graphic>
                </wp:inline>
              </w:drawing>
            </w:r>
          </w:p>
        </w:tc>
      </w:tr>
    </w:tbl>
    <w:p>
      <w:pPr>
        <w:pStyle w:val="Heading1"/>
        <w:spacing w:after="180" w:before="420"/>
      </w:pPr>
      <w:r>
        <w:t xml:space="preserve">Módulo 5 — Turnos y Notificaciones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76975" cy="3286125"/>
                          </a:xfrm>
                          <a:prstGeom prst="rect">
                            <a:avLst/>
                          </a:prstGeom>
                        </pic:spPr>
                      </pic:pic>
                    </a:graphicData>
                  </a:graphic>
                </wp:inline>
              </w:drawing>
            </w:r>
          </w:p>
        </w:tc>
      </w:tr>
    </w:tbl>
    <w:p>
      <w:pPr>
        <w:pStyle w:val="Heading1"/>
        <w:spacing w:after="180" w:before="420"/>
      </w:pPr>
      <w:r>
        <w:t xml:space="preserve">Módulo 6 — Logística e Integración 17TRACK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76975" cy="2219325"/>
                          </a:xfrm>
                          <a:prstGeom prst="rect">
                            <a:avLst/>
                          </a:prstGeom>
                        </pic:spPr>
                      </pic:pic>
                    </a:graphicData>
                  </a:graphic>
                </wp:inline>
              </w:drawing>
            </w:r>
          </w:p>
        </w:tc>
      </w:tr>
    </w:tbl>
    <w:p>
      <w:pPr>
        <w:pStyle w:val="Heading1"/>
        <w:spacing w:after="180" w:before="420"/>
      </w:pPr>
      <w:r>
        <w:t xml:space="preserve">Módulo 7 — Panel de Impacto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76975" cy="1695450"/>
                          </a:xfrm>
                          <a:prstGeom prst="rect">
                            <a:avLst/>
                          </a:prstGeom>
                        </pic:spPr>
                      </pic:pic>
                    </a:graphicData>
                  </a:graphic>
                </wp:inline>
              </w:drawing>
            </w:r>
          </w:p>
        </w:tc>
      </w:tr>
    </w:tbl>
    <w:p>
      <w:pPr>
        <w:pStyle w:val="Heading1"/>
        <w:spacing w:after="180" w:before="420"/>
      </w:pPr>
      <w:r>
        <w:t xml:space="preserve">Módulo 8 — Catálogo de Venta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4"/>
              <w:left w:val="single" w:color="999999" w:sz="4"/>
              <w:bottom w:val="single" w:color="999999" w:sz="4"/>
              <w:right w:val="single" w:color="999999" w:sz="4"/>
            </w:tcBorders>
            <w:tcMar>
              <w:top w:type="dxa" w:w="100"/>
              <w:left w:type="dxa" w:w="100"/>
              <w:bottom w:type="dxa" w:w="100"/>
              <w:right w:type="dxa" w:w="100"/>
            </w:tcMar>
          </w:tcPr>
          <w:p>
            <w:pPr>
              <w:jc w:val="center"/>
            </w:pPr>
            <w:r>
              <w:drawing>
                <wp:inline distT="0" distB="0" distL="0" distR="0">
                  <wp:extent cx="6276975"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76975" cy="2219325"/>
                          </a:xfrm>
                          <a:prstGeom prst="rect">
                            <a:avLst/>
                          </a:prstGeom>
                        </pic:spPr>
                      </pic:pic>
                    </a:graphicData>
                  </a:graphic>
                </wp:inline>
              </w:drawing>
            </w:r>
          </w:p>
        </w:tc>
      </w:tr>
    </w:tbl>
    <w:p>
      <w:pPr>
        <w:spacing w:after="140"/>
      </w:pPr>
      <w:r>
        <w:rPr>
          <w:i/>
          <w:iCs/>
        </w:rPr>
        <w:t xml:space="preserve">Ver el documento "Modelos de Casos de Uso" para la especificación textual de cada caso de uso (ID, actores, precondición, flujo básico, postcondición, RF relacionado).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Diagrama de Casos de Uso — Banco de Anteojos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2c6adde8e0a565d0e0516b25038c2407d61585.png"/><Relationship Id="rId10" Type="http://schemas.openxmlformats.org/officeDocument/2006/relationships/image" Target="media/b4d739f5fc0186eec4801dec1c44448fa7b4f2dd.png"/><Relationship Id="rId11" Type="http://schemas.openxmlformats.org/officeDocument/2006/relationships/image" Target="media/9396b043159f5271990baa70d799bcbc292dd9eb.png"/><Relationship Id="rId12" Type="http://schemas.openxmlformats.org/officeDocument/2006/relationships/image" Target="media/10a6ae169b07b2491aedb1891d70f671668de081.png"/><Relationship Id="rId13" Type="http://schemas.openxmlformats.org/officeDocument/2006/relationships/image" Target="media/402dd81288305e5e32ced292ccff28333aff1c1b.png"/><Relationship Id="rId14" Type="http://schemas.openxmlformats.org/officeDocument/2006/relationships/image" Target="media/5a4e7f4a983132fbb183f3a302bafced1264e6a9.png"/><Relationship Id="rId15" Type="http://schemas.openxmlformats.org/officeDocument/2006/relationships/image" Target="media/ab584ee05792aeb6d67685e298cd74e9ed6cfabe.png"/><Relationship Id="rId16" Type="http://schemas.openxmlformats.org/officeDocument/2006/relationships/image" Target="media/799c5b81dc5871a10ade56d118bf89e5fbd059f5.png"/><Relationship Id="rId17" Type="http://schemas.openxmlformats.org/officeDocument/2006/relationships/image" Target="media/7ac6cf5f5366446f44f932b2de419e01aa88ce0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2026-09-27T21:52:50.784Z</dcterms:created>
  <dcterms:modified xsi:type="dcterms:W3CDTF">2026-09-27T21:52:50.784Z</dcterms:modified>
</cp:coreProperties>
</file>

<file path=docProps/custom.xml><?xml version="1.0" encoding="utf-8"?>
<Properties xmlns="http://schemas.openxmlformats.org/officeDocument/2006/custom-properties" xmlns:vt="http://schemas.openxmlformats.org/officeDocument/2006/docPropsVTypes"/>
</file>