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000"/>
      </w:pPr>
    </w:p>
    <w:p>
      <w:pPr>
        <w:spacing w:after="200"/>
        <w:jc w:val="center"/>
      </w:pPr>
      <w:r>
        <w:rPr>
          <w:b/>
          <w:bCs/>
          <w:sz w:val="38"/>
          <w:szCs w:val="38"/>
        </w:rPr>
        <w:t xml:space="preserve">Modelo de Base de Datos</w:t>
      </w:r>
    </w:p>
    <w:p>
      <w:pPr>
        <w:spacing w:after="100"/>
        <w:jc w:val="center"/>
      </w:pPr>
      <w:r>
        <w:rPr>
          <w:sz w:val="26"/>
          <w:szCs w:val="26"/>
        </w:rPr>
        <w:t xml:space="preserve">Sistema Banco de Anteojos — Fundación Hacer Futuro</w:t>
      </w:r>
    </w:p>
    <w:p>
      <w:pPr>
        <w:spacing w:after="800"/>
        <w:jc w:val="center"/>
      </w:pPr>
      <w:r>
        <w:rPr>
          <w:i/>
          <w:iCs/>
          <w:sz w:val="20"/>
          <w:szCs w:val="20"/>
        </w:rPr>
        <w:t xml:space="preserve">PostgreSQL / Flyway · Proyecto Final UTN-FRT 2026 · ID T045</w:t>
      </w:r>
    </w:p>
    <w:p>
      <w:r>
        <w:br w:type="page"/>
      </w:r>
    </w:p>
    <w:p>
      <w:pPr>
        <w:pStyle w:val="Heading1"/>
        <w:spacing w:after="180" w:before="420"/>
      </w:pPr>
      <w: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40"/>
      </w:pPr>
      <w:r>
        <w:t xml:space="preserve">Modelo físico relacional (PostgreSQL), reconstruido a partir de las migraciones Flyway (backend/src/main/resources/db/migration/V1 a V16; V15 solo carga un usuario semilla, no altera el schema), que son la única fuente de verdad del schema (Hibernate corre en modo none). A diferencia de la Vista Lógica del Documento de Arquitectura —que modela conceptos de dominio—, este documento describe las tablas, columnas, tipos y restricciones reales tal como existen en la base.</w:t>
      </w:r>
    </w:p>
    <w:p>
      <w:pPr>
        <w:pStyle w:val="Heading1"/>
        <w:spacing w:after="180" w:before="420"/>
      </w:pPr>
      <w:r>
        <w:t xml:space="preserve">1. Convenciones del schema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snake_case; tablas en plural, columnas en singular.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Toda PK se llama id (BIGSERIAL); toda FK &lt;entidad&gt;_id.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Timestamps de instante en _at (TIMESTAMP WITHOUT TIME ZONE); fechas puras en _date (DATE).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Booleanos con prefijo is_/tal cual (identity_validated), NOT NULL + DEFAULT coherente.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Estados como VARCHAR(n) con CHECK explícito — excepto shipment_events.status, que guarda el valor crudo del carrier sin restricción.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Ningún binario se persiste en la base: PDFs e imágenes van a Cloudflare R2; las tablas guardan la key del objeto, nunca una URL.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Las migraciones son append-only: un cambio de schema siempre es una migración nueva, nunca se edita una ya aplicada.</w:t>
      </w:r>
    </w:p>
    <w:p>
      <w:pPr>
        <w:pStyle w:val="Heading1"/>
        <w:spacing w:after="180" w:before="420"/>
      </w:pPr>
      <w:r>
        <w:t xml:space="preserve">2. Diagrama</w:t>
      </w:r>
    </w:p>
    <w:p>
      <w:pPr>
        <w:spacing w:after="140"/>
      </w:pPr>
      <w:r>
        <w:rPr>
          <w:i/>
          <w:iCs/>
        </w:rPr>
        <w:t xml:space="preserve">Las 13 tablas del esquema en un único diagrama.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41529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415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40"/>
      </w:pPr>
      <w:r>
        <w:rPr>
          <w:i/>
          <w:iCs/>
        </w:rPr>
        <w:t xml:space="preserve">El diagrama muestra columnas clave (PK/FK/UNIQUE + atributos distintivos) para que se lea de un vistazo. El detalle completo de cada tabla está en el diccionario de datos (sección 3).</w:t>
      </w:r>
    </w:p>
    <w:p>
      <w:pPr>
        <w:pStyle w:val="Heading1"/>
        <w:spacing w:after="180" w:before="420"/>
      </w:pPr>
      <w:r>
        <w:t xml:space="preserve">3. Diccionario de datos</w:t>
      </w:r>
    </w:p>
    <w:p>
      <w:pPr>
        <w:pStyle w:val="Heading2"/>
        <w:spacing w:after="140" w:before="280"/>
      </w:pPr>
      <w:r>
        <w:t xml:space="preserve">users — V1, alterada en V13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3200"/>
        <w:gridCol w:w="3480"/>
      </w:tblGrid>
      <w:tr>
        <w:trPr>
          <w:tblHeader/>
        </w:trPr>
        <w:tc>
          <w:tcPr>
            <w:tcW w:type="dxa" w:w="19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Columna</w:t>
            </w:r>
          </w:p>
        </w:tc>
        <w:tc>
          <w:tcPr>
            <w:tcW w:type="dxa" w:w="15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Tipo</w:t>
            </w:r>
          </w:p>
        </w:tc>
        <w:tc>
          <w:tcPr>
            <w:tcW w:type="dxa" w:w="32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Restricciones</w:t>
            </w:r>
          </w:p>
        </w:tc>
        <w:tc>
          <w:tcPr>
            <w:tcW w:type="dxa" w:w="348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Notas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BIGSERIAL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PK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name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VARCHAR(100)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email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VARCHAR(255)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UNIQUE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password_hash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VARCHAR(100)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hash BCrypt (RNF-03)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role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VARCHAR(20)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CHECK IN (ADMIN, OPERATOR, APPLICANT)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el 3er valor se agregó en V13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is_active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BOOLEAN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DEFAULT true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created_at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TIMESTAMP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DEFAULT now()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applicant_id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BIGINT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FK → applicants.id, 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solo se usa para APPLICANT; índice único parcial WHERE applicant_id IS NOT NULL</w:t>
            </w:r>
          </w:p>
        </w:tc>
      </w:tr>
    </w:tbl>
    <w:p>
      <w:pPr>
        <w:pStyle w:val="Heading2"/>
        <w:spacing w:after="140" w:before="280"/>
      </w:pPr>
      <w:r>
        <w:t xml:space="preserve">applicants — V2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3200"/>
        <w:gridCol w:w="3480"/>
      </w:tblGrid>
      <w:tr>
        <w:trPr>
          <w:tblHeader/>
        </w:trPr>
        <w:tc>
          <w:tcPr>
            <w:tcW w:type="dxa" w:w="19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Columna</w:t>
            </w:r>
          </w:p>
        </w:tc>
        <w:tc>
          <w:tcPr>
            <w:tcW w:type="dxa" w:w="15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Tipo</w:t>
            </w:r>
          </w:p>
        </w:tc>
        <w:tc>
          <w:tcPr>
            <w:tcW w:type="dxa" w:w="32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Restricciones</w:t>
            </w:r>
          </w:p>
        </w:tc>
        <w:tc>
          <w:tcPr>
            <w:tcW w:type="dxa" w:w="348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Notas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BIGSERIAL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PK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first_name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VARCHAR(100)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last_name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VARCHAR(100)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dni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VARCHAR(8)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UNIQUE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identidad validada contra RENAPER; inmutable desde la app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cuil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VARCHAR(11)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lo completa el sistema al validar ANSES, no lo carga el operador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birth_date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DATE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phone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VARCHAR(30)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email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VARCHAR(255)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identity_validated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BOOLEAN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DEFAULT false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RF-02/RF-06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created_at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TIMESTAMP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DEFAULT now()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pPr>
        <w:pStyle w:val="Heading2"/>
        <w:spacing w:after="140" w:before="280"/>
      </w:pPr>
      <w:r>
        <w:t xml:space="preserve">prescriptions — V3, alterada en V6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3200"/>
        <w:gridCol w:w="3480"/>
      </w:tblGrid>
      <w:tr>
        <w:trPr>
          <w:tblHeader/>
        </w:trPr>
        <w:tc>
          <w:tcPr>
            <w:tcW w:type="dxa" w:w="19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Columna</w:t>
            </w:r>
          </w:p>
        </w:tc>
        <w:tc>
          <w:tcPr>
            <w:tcW w:type="dxa" w:w="15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Tipo</w:t>
            </w:r>
          </w:p>
        </w:tc>
        <w:tc>
          <w:tcPr>
            <w:tcW w:type="dxa" w:w="32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Restricciones</w:t>
            </w:r>
          </w:p>
        </w:tc>
        <w:tc>
          <w:tcPr>
            <w:tcW w:type="dxa" w:w="348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Notas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BIGSERIAL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PK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applicant_id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BIGINT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FK → applicants.id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índice idx_prescriptions_applicant_id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right_sphere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NUMERIC(4,2)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right_cylinder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NUMERIC(4,2)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right_axis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INTEGER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CHECK 0–180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left_sphere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NUMERIC(4,2)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left_cylinder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NUMERIC(4,2)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left_axis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INTEGER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CHECK 0–180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created_at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TIMESTAMP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DEFAULT now()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file_key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VARCHAR(255)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archivo de la receta en R2 (opcional)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file_content_type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VARCHAR(100)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file_original_name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VARCHAR(255)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pPr>
        <w:pStyle w:val="Heading2"/>
        <w:spacing w:after="140" w:before="280"/>
      </w:pPr>
      <w:r>
        <w:t xml:space="preserve">anses_certificates — V7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3200"/>
        <w:gridCol w:w="3480"/>
      </w:tblGrid>
      <w:tr>
        <w:trPr>
          <w:tblHeader/>
        </w:trPr>
        <w:tc>
          <w:tcPr>
            <w:tcW w:type="dxa" w:w="19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Columna</w:t>
            </w:r>
          </w:p>
        </w:tc>
        <w:tc>
          <w:tcPr>
            <w:tcW w:type="dxa" w:w="15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Tipo</w:t>
            </w:r>
          </w:p>
        </w:tc>
        <w:tc>
          <w:tcPr>
            <w:tcW w:type="dxa" w:w="32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Restricciones</w:t>
            </w:r>
          </w:p>
        </w:tc>
        <w:tc>
          <w:tcPr>
            <w:tcW w:type="dxa" w:w="348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Notas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BIGSERIAL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PK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applicant_id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BIGINT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UNIQUE, FK → applicants.id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un solo certificado vigente por solicitante; subir otro lo reemplaza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cuil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VARCHAR(11)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extraído del código de barras (RF-04)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transaction_number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VARCHAR(50)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resto del código de barras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issue_date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DATE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extraída del texto del PDF; RF-05 chequea ≤30 días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file_key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VARCHAR(255)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PDF en R2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file_content_type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VARCHAR(100)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file_original_name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VARCHAR(255)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created_at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TIMESTAMP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pPr>
        <w:pStyle w:val="Heading2"/>
        <w:spacing w:after="140" w:before="280"/>
      </w:pPr>
      <w:r>
        <w:t xml:space="preserve">donors — V4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3200"/>
        <w:gridCol w:w="3480"/>
      </w:tblGrid>
      <w:tr>
        <w:trPr>
          <w:tblHeader/>
        </w:trPr>
        <w:tc>
          <w:tcPr>
            <w:tcW w:type="dxa" w:w="19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Columna</w:t>
            </w:r>
          </w:p>
        </w:tc>
        <w:tc>
          <w:tcPr>
            <w:tcW w:type="dxa" w:w="15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Tipo</w:t>
            </w:r>
          </w:p>
        </w:tc>
        <w:tc>
          <w:tcPr>
            <w:tcW w:type="dxa" w:w="32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Restricciones</w:t>
            </w:r>
          </w:p>
        </w:tc>
        <w:tc>
          <w:tcPr>
            <w:tcW w:type="dxa" w:w="348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Notas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BIGSERIAL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PK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donor_type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VARCHAR(20)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CHECK IN (INDIVIDUAL, ORGANIZATION)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name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VARCHAR(150)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nombre completo o razón social — una sola columna para no tener dos pares de campos nullable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document_number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VARCHAR(20)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phone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VARCHAR(30)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email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VARCHAR(255)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created_at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TIMESTAMP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DEFAULT now()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pPr>
        <w:pStyle w:val="Heading2"/>
        <w:spacing w:after="140" w:before="280"/>
      </w:pPr>
      <w:r>
        <w:t xml:space="preserve">frames — V5, alterada en V9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3200"/>
        <w:gridCol w:w="3480"/>
      </w:tblGrid>
      <w:tr>
        <w:trPr>
          <w:tblHeader/>
        </w:trPr>
        <w:tc>
          <w:tcPr>
            <w:tcW w:type="dxa" w:w="19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Columna</w:t>
            </w:r>
          </w:p>
        </w:tc>
        <w:tc>
          <w:tcPr>
            <w:tcW w:type="dxa" w:w="15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Tipo</w:t>
            </w:r>
          </w:p>
        </w:tc>
        <w:tc>
          <w:tcPr>
            <w:tcW w:type="dxa" w:w="32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Restricciones</w:t>
            </w:r>
          </w:p>
        </w:tc>
        <w:tc>
          <w:tcPr>
            <w:tcW w:type="dxa" w:w="348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Notas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BIGSERIAL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PK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donor_id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BIGINT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FK → donors.id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índice idx_frames_donor_id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seal_code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VARCHAR(30)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UNIQUE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precinto físico (RF-10)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frame_type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VARCHAR(20)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CHECK IN (FULL_RIM, SEMI_RIMLESS, RIMLESS)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material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VARCHAR(20)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CHECK IN (ACETATE, METAL, TITANIUM, PLASTIC, OTHER)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lens_width_mm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INTEGER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bridge_width_mm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INTEGER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temple_length_mm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INTEGER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status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VARCHAR(20)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DEFAULT AVAILABLE, CHECK IN (6 valores)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índice idx_frames_status; ciclo de vida completo definido de una vez (append-only)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received_at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TIMESTAMP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DEFAULT now()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image_key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VARCHAR(255)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foto para el probador virtual (RF-18)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image_content_type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VARCHAR(100)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image_original_name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VARCHAR(255)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pPr>
        <w:pStyle w:val="Heading2"/>
        <w:spacing w:after="140" w:before="280"/>
      </w:pPr>
      <w:r>
        <w:t xml:space="preserve">assignments — V8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3200"/>
        <w:gridCol w:w="3480"/>
      </w:tblGrid>
      <w:tr>
        <w:trPr>
          <w:tblHeader/>
        </w:trPr>
        <w:tc>
          <w:tcPr>
            <w:tcW w:type="dxa" w:w="19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Columna</w:t>
            </w:r>
          </w:p>
        </w:tc>
        <w:tc>
          <w:tcPr>
            <w:tcW w:type="dxa" w:w="15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Tipo</w:t>
            </w:r>
          </w:p>
        </w:tc>
        <w:tc>
          <w:tcPr>
            <w:tcW w:type="dxa" w:w="32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Restricciones</w:t>
            </w:r>
          </w:p>
        </w:tc>
        <w:tc>
          <w:tcPr>
            <w:tcW w:type="dxa" w:w="348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Notas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BIGSERIAL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PK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applicant_id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BIGINT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FK → applicants.id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índice idx_assignments_applicant_id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frame_id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BIGINT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FK → frames.id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único condicional: idx_assignments_live_frame WHERE cancelled_at IS NULL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prescription_id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BIGINT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FK → prescriptions.id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la receta viaja con el marco a la óptica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assigned_at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TIMESTAMP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sent_to_optician_at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TIMESTAMP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returned_at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TIMESTAMP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delivered_at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TIMESTAMP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cancelled_at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TIMESTAMP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cancellation_reason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VARCHAR(255)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notes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VARCHAR(500)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pPr>
        <w:spacing w:after="140"/>
      </w:pPr>
      <w:r>
        <w:rPr>
          <w:i/>
          <w:iCs/>
          <w:sz w:val="20"/>
          <w:szCs w:val="20"/>
        </w:rPr>
        <w:t xml:space="preserve">No hay columna de "estado": cada hito es un timestamp, y eso ES la trazabilidad (RF-16). La fuente de verdad de "dónde está el marco" es frames.status, no una máquina de estados duplicada acá.</w:t>
      </w:r>
    </w:p>
    <w:p>
      <w:pPr>
        <w:pStyle w:val="Heading2"/>
        <w:spacing w:after="140" w:before="280"/>
      </w:pPr>
      <w:r>
        <w:t xml:space="preserve">appointments — V10, alterada en V14 y V16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3200"/>
        <w:gridCol w:w="3480"/>
      </w:tblGrid>
      <w:tr>
        <w:trPr>
          <w:tblHeader/>
        </w:trPr>
        <w:tc>
          <w:tcPr>
            <w:tcW w:type="dxa" w:w="19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Columna</w:t>
            </w:r>
          </w:p>
        </w:tc>
        <w:tc>
          <w:tcPr>
            <w:tcW w:type="dxa" w:w="15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Tipo</w:t>
            </w:r>
          </w:p>
        </w:tc>
        <w:tc>
          <w:tcPr>
            <w:tcW w:type="dxa" w:w="32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Restricciones</w:t>
            </w:r>
          </w:p>
        </w:tc>
        <w:tc>
          <w:tcPr>
            <w:tcW w:type="dxa" w:w="348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Notas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BIGSERIAL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PK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applicant_id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BIGINT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FK → applicants.id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índice idx_appointments_applicant_id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assignment_id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BIGINT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NULL, FK → assignments.id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turno de retiro de un par puntual; NULL = atención general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scheduled_at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TIMESTAMP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índice idx_appointments_scheduled_at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status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VARCHAR(20)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DEFAULT PENDING_PAYMENT, CHECK IN (6 valores)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V16 agrega PENDING_REVIEW entre la carga del comprobante y su aprobación por un operador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notes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VARCHAR(500)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cancellation_reason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VARCHAR(255)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created_at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TIMESTAMP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receipt_key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VARCHAR(255)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comprobante de la transferencia en R2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receipt_content_type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VARCHAR(100)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receipt_original_name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VARCHAR(255)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pPr>
        <w:spacing w:after="140"/>
      </w:pPr>
      <w:r>
        <w:rPr>
          <w:i/>
          <w:iCs/>
          <w:sz w:val="20"/>
          <w:szCs w:val="20"/>
        </w:rPr>
        <w:t xml:space="preserve">A diferencia de assignments, acá sí hay una columna de estado: un turno es agenda, no trazabilidad de un circuito — importa en qué quedó, no cada reprogramación fila por fila.</w:t>
      </w:r>
    </w:p>
    <w:p>
      <w:pPr>
        <w:pStyle w:val="Heading2"/>
        <w:spacing w:after="140" w:before="280"/>
      </w:pPr>
      <w:r>
        <w:t xml:space="preserve">shipments — V11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3200"/>
        <w:gridCol w:w="3480"/>
      </w:tblGrid>
      <w:tr>
        <w:trPr>
          <w:tblHeader/>
        </w:trPr>
        <w:tc>
          <w:tcPr>
            <w:tcW w:type="dxa" w:w="19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Columna</w:t>
            </w:r>
          </w:p>
        </w:tc>
        <w:tc>
          <w:tcPr>
            <w:tcW w:type="dxa" w:w="15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Tipo</w:t>
            </w:r>
          </w:p>
        </w:tc>
        <w:tc>
          <w:tcPr>
            <w:tcW w:type="dxa" w:w="32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Restricciones</w:t>
            </w:r>
          </w:p>
        </w:tc>
        <w:tc>
          <w:tcPr>
            <w:tcW w:type="dxa" w:w="348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Notas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BIGSERIAL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PK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origin_branch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VARCHAR(120)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destination_branch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VARCHAR(120)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tracking_number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VARCHAR(50)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UNIQUE, 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lo asigna Vía Cargo al despachar; NULL mientras se arma el paquete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status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VARCHAR(30)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DEFAULT PENDING, CHECK IN (11 valores)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vocabulario de estados de 17TRACK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notes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VARCHAR(500)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cancellation_reason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VARCHAR(255)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created_at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TIMESTAMP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dispatched_at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TIMESTAMP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delivered_at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TIMESTAMP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pPr>
        <w:spacing w:after="140"/>
      </w:pPr>
      <w:r>
        <w:rPr>
          <w:i/>
          <w:iCs/>
          <w:sz w:val="20"/>
          <w:szCs w:val="20"/>
        </w:rPr>
        <w:t xml:space="preserve">El estado del marco no se toca al viajar: el inventario (frames.status) dice qué se puede hacer con el marco, no dónde está parado físicamente — misma decisión que en assignments.</w:t>
      </w:r>
    </w:p>
    <w:p>
      <w:pPr>
        <w:pStyle w:val="Heading2"/>
        <w:spacing w:after="140" w:before="280"/>
      </w:pPr>
      <w:r>
        <w:t xml:space="preserve">shipment_frames — V11 (tabla de asociación N:M)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3200"/>
        <w:gridCol w:w="3480"/>
      </w:tblGrid>
      <w:tr>
        <w:trPr>
          <w:tblHeader/>
        </w:trPr>
        <w:tc>
          <w:tcPr>
            <w:tcW w:type="dxa" w:w="19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Columna</w:t>
            </w:r>
          </w:p>
        </w:tc>
        <w:tc>
          <w:tcPr>
            <w:tcW w:type="dxa" w:w="15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Tipo</w:t>
            </w:r>
          </w:p>
        </w:tc>
        <w:tc>
          <w:tcPr>
            <w:tcW w:type="dxa" w:w="32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Restricciones</w:t>
            </w:r>
          </w:p>
        </w:tc>
        <w:tc>
          <w:tcPr>
            <w:tcW w:type="dxa" w:w="348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Notas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shipment_id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BIGINT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PK (compuesta), FK → shipments.id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frame_id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BIGINT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PK (compuesta), FK → frames.id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pPr>
        <w:spacing w:after="140"/>
      </w:pPr>
      <w:r>
        <w:rPr>
          <w:i/>
          <w:iCs/>
          <w:sz w:val="20"/>
          <w:szCs w:val="20"/>
        </w:rPr>
        <w:t xml:space="preserve">Sin id propio: la clave primaria es el par (shipment_id, frame_id), el conjunto de marcos que viaja en un mismo paquete.</w:t>
      </w:r>
    </w:p>
    <w:p>
      <w:pPr>
        <w:pStyle w:val="Heading2"/>
        <w:spacing w:after="140" w:before="280"/>
      </w:pPr>
      <w:r>
        <w:t xml:space="preserve">shipment_events — V11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3200"/>
        <w:gridCol w:w="3480"/>
      </w:tblGrid>
      <w:tr>
        <w:trPr>
          <w:tblHeader/>
        </w:trPr>
        <w:tc>
          <w:tcPr>
            <w:tcW w:type="dxa" w:w="19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Columna</w:t>
            </w:r>
          </w:p>
        </w:tc>
        <w:tc>
          <w:tcPr>
            <w:tcW w:type="dxa" w:w="15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Tipo</w:t>
            </w:r>
          </w:p>
        </w:tc>
        <w:tc>
          <w:tcPr>
            <w:tcW w:type="dxa" w:w="32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Restricciones</w:t>
            </w:r>
          </w:p>
        </w:tc>
        <w:tc>
          <w:tcPr>
            <w:tcW w:type="dxa" w:w="348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Notas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BIGSERIAL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PK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shipment_id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BIGINT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FK → shipments.id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índice idx_shipment_events_shipment_id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status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VARCHAR(40)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sin CHECK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valor crudo del carrier: un estado nuevo de 17TRACK no puede romper el webhook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description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VARCHAR(500)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location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VARCHAR(255)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occurred_at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TIMESTAMP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received_at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TIMESTAMP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cuándo llegó el webhook (distinto de cuándo ocurrió el evento)</w:t>
            </w:r>
          </w:p>
        </w:tc>
      </w:tr>
    </w:tbl>
    <w:p>
      <w:pPr>
        <w:pStyle w:val="Heading2"/>
        <w:spacing w:after="140" w:before="280"/>
      </w:pPr>
      <w:r>
        <w:t xml:space="preserve">products — V12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3200"/>
        <w:gridCol w:w="3480"/>
      </w:tblGrid>
      <w:tr>
        <w:trPr>
          <w:tblHeader/>
        </w:trPr>
        <w:tc>
          <w:tcPr>
            <w:tcW w:type="dxa" w:w="19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Columna</w:t>
            </w:r>
          </w:p>
        </w:tc>
        <w:tc>
          <w:tcPr>
            <w:tcW w:type="dxa" w:w="15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Tipo</w:t>
            </w:r>
          </w:p>
        </w:tc>
        <w:tc>
          <w:tcPr>
            <w:tcW w:type="dxa" w:w="32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Restricciones</w:t>
            </w:r>
          </w:p>
        </w:tc>
        <w:tc>
          <w:tcPr>
            <w:tcW w:type="dxa" w:w="348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Notas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BIGSERIAL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PK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name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VARCHAR(150)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description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VARCHAR(500)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price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NUMERIC(10,2)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CHECK &gt;= 0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stock_quantity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INTEGER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DEFAULT 0, CHECK &gt;= 0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status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VARCHAR(20)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DEFAULT ACTIVE, CHECK IN (ACTIVE, DISCONTINUED)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baja lógica, nunca se borra la fila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image_key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VARCHAR(255)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image_content_type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VARCHAR(100)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image_original_name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VARCHAR(255)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created_at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TIMESTAMP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DEFAULT now()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pPr>
        <w:spacing w:after="140"/>
      </w:pPr>
      <w:r>
        <w:rPr>
          <w:i/>
          <w:iCs/>
          <w:sz w:val="20"/>
          <w:szCs w:val="20"/>
        </w:rPr>
        <w:t xml:space="preserve">Dominio autocontenido, sin relación con frames/donors: acá se vende para financiar la fundación, no se dona.</w:t>
      </w:r>
    </w:p>
    <w:p>
      <w:pPr>
        <w:pStyle w:val="Heading2"/>
        <w:spacing w:after="140" w:before="280"/>
      </w:pPr>
      <w:r>
        <w:t xml:space="preserve">product_sales — V12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3200"/>
        <w:gridCol w:w="3480"/>
      </w:tblGrid>
      <w:tr>
        <w:trPr>
          <w:tblHeader/>
        </w:trPr>
        <w:tc>
          <w:tcPr>
            <w:tcW w:type="dxa" w:w="19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Columna</w:t>
            </w:r>
          </w:p>
        </w:tc>
        <w:tc>
          <w:tcPr>
            <w:tcW w:type="dxa" w:w="15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Tipo</w:t>
            </w:r>
          </w:p>
        </w:tc>
        <w:tc>
          <w:tcPr>
            <w:tcW w:type="dxa" w:w="32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Restricciones</w:t>
            </w:r>
          </w:p>
        </w:tc>
        <w:tc>
          <w:tcPr>
            <w:tcW w:type="dxa" w:w="348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Notas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BIGSERIAL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PK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product_id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BIGINT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FK → products.id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índice idx_product_sales_product_id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quantity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INTEGER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CHECK &gt; 0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unit_price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NUMERIC(10,2)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copia el precio al momento de vender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total_amount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NUMERIC(10,2)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buyer_name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VARCHAR(150)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notes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VARCHAR(500)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sold_at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TIMESTAMP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pPr>
        <w:spacing w:after="140"/>
      </w:pPr>
      <w:r>
        <w:rPr>
          <w:i/>
          <w:iCs/>
          <w:sz w:val="20"/>
          <w:szCs w:val="20"/>
        </w:rPr>
        <w:t xml:space="preserve">unit_price no se recalcula desde products.price: si el precio cambia después, no debe reescribir ventas ya cerradas.</w:t>
      </w:r>
    </w:p>
    <w:p>
      <w:pPr>
        <w:pStyle w:val="Heading1"/>
        <w:spacing w:after="180" w:before="420"/>
      </w:pPr>
      <w:r>
        <w:t xml:space="preserve">4. Índices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800"/>
        <w:gridCol w:w="1800"/>
        <w:gridCol w:w="3880"/>
      </w:tblGrid>
      <w:tr>
        <w:trPr>
          <w:tblHeader/>
        </w:trPr>
        <w:tc>
          <w:tcPr>
            <w:tcW w:type="dxa" w:w="26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Índice</w:t>
            </w:r>
          </w:p>
        </w:tc>
        <w:tc>
          <w:tcPr>
            <w:tcW w:type="dxa" w:w="18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Tabla</w:t>
            </w:r>
          </w:p>
        </w:tc>
        <w:tc>
          <w:tcPr>
            <w:tcW w:type="dxa" w:w="18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Columnas</w:t>
            </w:r>
          </w:p>
        </w:tc>
        <w:tc>
          <w:tcPr>
            <w:tcW w:type="dxa" w:w="388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Tipo</w:t>
            </w:r>
          </w:p>
        </w:tc>
      </w:tr>
      <w:t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idx_prescriptions_applicant_id</w:t>
            </w:r>
          </w:p>
        </w:tc>
        <w:tc>
          <w:tcPr>
            <w:tcW w:type="dxa" w:w="1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prescriptions</w:t>
            </w:r>
          </w:p>
        </w:tc>
        <w:tc>
          <w:tcPr>
            <w:tcW w:type="dxa" w:w="1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applicant_id</w:t>
            </w:r>
          </w:p>
        </w:tc>
        <w:tc>
          <w:tcPr>
            <w:tcW w:type="dxa" w:w="38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normal</w:t>
            </w:r>
          </w:p>
        </w:tc>
      </w:tr>
      <w:t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idx_frames_donor_id</w:t>
            </w:r>
          </w:p>
        </w:tc>
        <w:tc>
          <w:tcPr>
            <w:tcW w:type="dxa" w:w="1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frames</w:t>
            </w:r>
          </w:p>
        </w:tc>
        <w:tc>
          <w:tcPr>
            <w:tcW w:type="dxa" w:w="1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donor_id</w:t>
            </w:r>
          </w:p>
        </w:tc>
        <w:tc>
          <w:tcPr>
            <w:tcW w:type="dxa" w:w="38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normal</w:t>
            </w:r>
          </w:p>
        </w:tc>
      </w:tr>
      <w:t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idx_frames_status</w:t>
            </w:r>
          </w:p>
        </w:tc>
        <w:tc>
          <w:tcPr>
            <w:tcW w:type="dxa" w:w="1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frames</w:t>
            </w:r>
          </w:p>
        </w:tc>
        <w:tc>
          <w:tcPr>
            <w:tcW w:type="dxa" w:w="1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status</w:t>
            </w:r>
          </w:p>
        </w:tc>
        <w:tc>
          <w:tcPr>
            <w:tcW w:type="dxa" w:w="38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normal</w:t>
            </w:r>
          </w:p>
        </w:tc>
      </w:tr>
      <w:t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idx_assignments_live_frame</w:t>
            </w:r>
          </w:p>
        </w:tc>
        <w:tc>
          <w:tcPr>
            <w:tcW w:type="dxa" w:w="1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assignments</w:t>
            </w:r>
          </w:p>
        </w:tc>
        <w:tc>
          <w:tcPr>
            <w:tcW w:type="dxa" w:w="1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frame_id</w:t>
            </w:r>
          </w:p>
        </w:tc>
        <w:tc>
          <w:tcPr>
            <w:tcW w:type="dxa" w:w="38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único, parcial (WHERE cancelled_at IS NULL)</w:t>
            </w:r>
          </w:p>
        </w:tc>
      </w:tr>
      <w:t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idx_assignments_applicant_id</w:t>
            </w:r>
          </w:p>
        </w:tc>
        <w:tc>
          <w:tcPr>
            <w:tcW w:type="dxa" w:w="1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assignments</w:t>
            </w:r>
          </w:p>
        </w:tc>
        <w:tc>
          <w:tcPr>
            <w:tcW w:type="dxa" w:w="1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applicant_id</w:t>
            </w:r>
          </w:p>
        </w:tc>
        <w:tc>
          <w:tcPr>
            <w:tcW w:type="dxa" w:w="38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normal</w:t>
            </w:r>
          </w:p>
        </w:tc>
      </w:tr>
      <w:t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idx_appointments_applicant_id</w:t>
            </w:r>
          </w:p>
        </w:tc>
        <w:tc>
          <w:tcPr>
            <w:tcW w:type="dxa" w:w="1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appointments</w:t>
            </w:r>
          </w:p>
        </w:tc>
        <w:tc>
          <w:tcPr>
            <w:tcW w:type="dxa" w:w="1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applicant_id</w:t>
            </w:r>
          </w:p>
        </w:tc>
        <w:tc>
          <w:tcPr>
            <w:tcW w:type="dxa" w:w="38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normal</w:t>
            </w:r>
          </w:p>
        </w:tc>
      </w:tr>
      <w:t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idx_appointments_scheduled_at</w:t>
            </w:r>
          </w:p>
        </w:tc>
        <w:tc>
          <w:tcPr>
            <w:tcW w:type="dxa" w:w="1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appointments</w:t>
            </w:r>
          </w:p>
        </w:tc>
        <w:tc>
          <w:tcPr>
            <w:tcW w:type="dxa" w:w="1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scheduled_at</w:t>
            </w:r>
          </w:p>
        </w:tc>
        <w:tc>
          <w:tcPr>
            <w:tcW w:type="dxa" w:w="38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normal</w:t>
            </w:r>
          </w:p>
        </w:tc>
      </w:tr>
      <w:t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idx_shipment_events_shipment_id</w:t>
            </w:r>
          </w:p>
        </w:tc>
        <w:tc>
          <w:tcPr>
            <w:tcW w:type="dxa" w:w="1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shipment_events</w:t>
            </w:r>
          </w:p>
        </w:tc>
        <w:tc>
          <w:tcPr>
            <w:tcW w:type="dxa" w:w="1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shipment_id</w:t>
            </w:r>
          </w:p>
        </w:tc>
        <w:tc>
          <w:tcPr>
            <w:tcW w:type="dxa" w:w="38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normal</w:t>
            </w:r>
          </w:p>
        </w:tc>
      </w:tr>
      <w:t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idx_product_sales_product_id</w:t>
            </w:r>
          </w:p>
        </w:tc>
        <w:tc>
          <w:tcPr>
            <w:tcW w:type="dxa" w:w="1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product_sales</w:t>
            </w:r>
          </w:p>
        </w:tc>
        <w:tc>
          <w:tcPr>
            <w:tcW w:type="dxa" w:w="1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product_id</w:t>
            </w:r>
          </w:p>
        </w:tc>
        <w:tc>
          <w:tcPr>
            <w:tcW w:type="dxa" w:w="38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normal</w:t>
            </w:r>
          </w:p>
        </w:tc>
      </w:tr>
      <w:t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idx_users_applicant_id</w:t>
            </w:r>
          </w:p>
        </w:tc>
        <w:tc>
          <w:tcPr>
            <w:tcW w:type="dxa" w:w="1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users</w:t>
            </w:r>
          </w:p>
        </w:tc>
        <w:tc>
          <w:tcPr>
            <w:tcW w:type="dxa" w:w="1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applicant_id</w:t>
            </w:r>
          </w:p>
        </w:tc>
        <w:tc>
          <w:tcPr>
            <w:tcW w:type="dxa" w:w="38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único, parcial (WHERE applicant_id IS NOT NULL)</w:t>
            </w:r>
          </w:p>
        </w:tc>
      </w:tr>
    </w:tbl>
    <w:p>
      <w:pPr>
        <w:pStyle w:val="Heading1"/>
        <w:spacing w:after="180" w:before="420"/>
      </w:pPr>
      <w:r>
        <w:t xml:space="preserve">5. Decisiones de diseño transversales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Nunca se persisten binarios: toda tabla con un archivo asociado guarda *_key / *_content_type / *_original_name, nunca el contenido ni una URL (RNF-07).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Índices únicos condicionales (WHERE ... IS NULL) resuelven invariantes de negocio a nivel de base de datos en vez de una consulta previa desde la aplicación, que sería una condición de carrera entre dos operadores concurrentes (assignments.frame_id, users.applicant_id).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Trazabilidad como timestamps, no como estado en assignments: cada hito del circuito es una columna de fecha; el estado "actual" se deriva, no se guarda dos veces.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CHECK explícito para vocabularios cerrados y propios (frames.status, appointments.status, products.status) vs. sin CHECK para vocabulario de un tercero (shipment_events.status), porque ese valor lo define 17TRACK y puede agregar códigos sin previo aviso.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Migraciones append-only: los ALTER TABLE de V6, V9, V13, V14 y V16 agregan columnas o reemplazan un CHECK completo (DROP CONSTRAINT + ADD CONSTRAINT), nunca editan una migración ya aplicada.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Modelo de Base de Datos — Banco de Anteojos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24210d0ea8cd25e244d7faba420bf91480673a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2026-09-27T21:51:48.035Z</dcterms:created>
  <dcterms:modified xsi:type="dcterms:W3CDTF">2026-09-27T21:51:48.036Z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