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</w:p>
    <w:p>
      <w:pPr>
        <w:spacing w:after="200"/>
        <w:jc w:val="center"/>
      </w:pPr>
      <w:r>
        <w:rPr>
          <w:b/>
          <w:bCs/>
          <w:sz w:val="40"/>
          <w:szCs w:val="40"/>
        </w:rPr>
        <w:t xml:space="preserve">Especificación de Requisitos de Software (SRS)</w:t>
      </w:r>
    </w:p>
    <w:p>
      <w:pPr>
        <w:spacing w:after="100"/>
        <w:jc w:val="center"/>
      </w:pPr>
      <w:r>
        <w:rPr>
          <w:sz w:val="28"/>
          <w:szCs w:val="28"/>
        </w:rPr>
        <w:t xml:space="preserve">Sistema Banco de Anteojos — Fundación Hacer Futuro</w:t>
      </w:r>
    </w:p>
    <w:p>
      <w:pPr>
        <w:spacing w:after="800"/>
        <w:jc w:val="center"/>
      </w:pPr>
      <w:r>
        <w:rPr>
          <w:i/>
          <w:iCs/>
          <w:sz w:val="22"/>
          <w:szCs w:val="22"/>
        </w:rPr>
        <w:t xml:space="preserve">Basado en IEEE Std 830-1998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6860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Detalle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Proyecto</w:t>
            </w:r>
          </w:p>
        </w:tc>
        <w:tc>
          <w:tcPr>
            <w:tcW w:type="dxa" w:w="68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Proyecto Final UTN-FRT 2026 · ID T045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Organización</w:t>
            </w:r>
          </w:p>
        </w:tc>
        <w:tc>
          <w:tcPr>
            <w:tcW w:type="dxa" w:w="68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Fundación Hacer Futuro — Chacabuco 27, San Miguel de Tucumán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Versión del documento</w:t>
            </w:r>
          </w:p>
        </w:tc>
        <w:tc>
          <w:tcPr>
            <w:tcW w:type="dxa" w:w="68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Estado</w:t>
            </w:r>
          </w:p>
        </w:tc>
        <w:tc>
          <w:tcPr>
            <w:tcW w:type="dxa" w:w="68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Alcance completo del sistema (incluye módulos ya implementados y pendientes)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Fuente de requisitos</w:t>
            </w:r>
          </w:p>
        </w:tc>
        <w:tc>
          <w:tcPr>
            <w:tcW w:type="dxa" w:w="68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Declaración de Alcance v4 / Matriz de Trazabilidad v3, consolidados en docs/REQUIREMENTS.md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400"/>
      </w:pPr>
      <w:r>
        <w:t xml:space="preserve">1. Introducción</w:t>
      </w:r>
    </w:p>
    <w:p>
      <w:pPr>
        <w:pStyle w:val="Heading2"/>
        <w:spacing w:after="150" w:before="300"/>
      </w:pPr>
      <w:r>
        <w:t xml:space="preserve">1.1 Propósito</w:t>
      </w:r>
    </w:p>
    <w:p>
      <w:pPr>
        <w:spacing w:after="120"/>
      </w:pPr>
      <w:r>
        <w:t xml:space="preserve">Este documento especifica los requisitos funcionales y no funcionales del sistema Banco de Anteojos, desarrollado para la Fundación Hacer Futuro. Su propósito es servir como contrato técnico entre el equipo de desarrollo y la cátedra/fundación: define qué debe hacer el sistema, sin prescribir cómo implementarlo (el cómo se documenta en el Documento de Arquitectura de Software).</w:t>
      </w:r>
    </w:p>
    <w:p>
      <w:pPr>
        <w:spacing w:after="120"/>
      </w:pPr>
      <w:r>
        <w:t xml:space="preserve">Está dirigido a: el equipo de desarrollo (como referencia de alcance), la cátedra (como entregable de evaluación) y la fundación (como validación de que el sistema cubre su operatoria real).</w:t>
      </w:r>
    </w:p>
    <w:p>
      <w:pPr>
        <w:pStyle w:val="Heading2"/>
        <w:spacing w:after="150" w:before="300"/>
      </w:pPr>
      <w:r>
        <w:t xml:space="preserve">1.2 Alcance del sistema</w:t>
      </w:r>
    </w:p>
    <w:p>
      <w:pPr>
        <w:spacing w:after="120"/>
      </w:pPr>
      <w:r>
        <w:t xml:space="preserve">El sistema digitaliza la operatoria del Banco de Anteojos, hoy gestionada en papel. Cubre el ciclo completo: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Recepción de donaciones de marcos y registro de donantes.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Registro y validación de elegibilidad de beneficiarios (solicitantes).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Inventario de marcos con clasificación por atributos.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Match entre receta médica y marco disponible, asignación y trazabilidad end-to-end hasta la entrega.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Gestión de turnos de atención y notificaciones asociadas.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Logística de envíos entre sucursales, integrada con el operador de encomiendas Vía Cargo a través de 17TRACK.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Probador virtual de marcos sobre foto estática.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Panel de indicadores de impacto social.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Catálogo de venta de anteojos de sol, como fuente adicional de financiamiento.</w:t>
      </w:r>
    </w:p>
    <w:p>
      <w:pPr>
        <w:spacing w:after="120"/>
      </w:pPr>
      <w:r>
        <w:t xml:space="preserve">Fuera de alcance: procesamiento de pagos online (el bono contribución se valida offline por un operador a partir de un comprobante), realidad aumentada 3D en tiempo real, aplicación móvil nativa, integración directa con Vía Cargo (se realiza vía 17TRACK), y cualquier trámite administrativo externo (el convenio de confronte de datos con RENAPER vía TAD es un trámite de la fundación, no una funcionalidad del sistema).</w:t>
      </w:r>
    </w:p>
    <w:p>
      <w:pPr>
        <w:pStyle w:val="Heading2"/>
        <w:spacing w:after="150" w:before="300"/>
      </w:pPr>
      <w:r>
        <w:t xml:space="preserve">1.3 Definiciones, siglas y abreviaturas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6160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Significado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 / RNF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Requisito Funcional / Requisito No Funcional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Beneficiario / Solicitante (Applicant)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Persona sin cobertura médica que solicita anteojos a la fundación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Donante (Donor)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Persona o entidad que dona marcos usados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Marco (Frame)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Armazón de anteojos donado, sujeto a un ciclo de vida propio en el inventario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Asignación (Assignment)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Vínculo entre un beneficiario, su receta y un marco, con trazabilidad hasta la entrega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SID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Sistema de Identificación Digital de RENAPER (validación de identidad por DNI)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ANSES — Certificación Negativa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Constancia de que la persona no percibe prestación de ANSES, requisito de elegibilidad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TAD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Trámites a Distancia (plataforma del Estado Nacional)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17TRACK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Servicio de terceros que unifica el tracking de encomiendas de múltiples transportistas, incluido Vía Cargo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Bono contribución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Aporte voluntario que el beneficiario transfiere para confirmar su turno de autogestión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 / OPERATOR / APPLICANT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Roles del sistema (ver sección 2.3)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R2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Cloudflare R2, almacenamiento de objetos S3-compatible usado para imágenes y PDFs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RENAPER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Registro Nacional de las Personas</w:t>
            </w:r>
          </w:p>
        </w:tc>
      </w:tr>
    </w:tbl>
    <w:p>
      <w:pPr>
        <w:pStyle w:val="Heading2"/>
        <w:spacing w:after="150" w:before="300"/>
      </w:pPr>
      <w:r>
        <w:t xml:space="preserve">1.4 Referencias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Declaración de Alcance v4 (documento de cátedra — fuente textual de los criterios de aceptación).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Matriz de Trazabilidad v3 (documento de cátedra).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docs/REQUIREMENTS.md — consolidado de RF-01 a RF-30 y RNF-01 a RNF-11 usado como base de este SRS.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IEEE Std 830-1998, Recommended Practice for Software Requirements Specifications.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Ley 25.326 de Protección de Datos Personales (República Argentina).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Documentación pública de 17TRACK API y MediaPipe Face Mesh.</w:t>
      </w:r>
    </w:p>
    <w:p>
      <w:pPr>
        <w:pStyle w:val="Heading2"/>
        <w:spacing w:after="150" w:before="300"/>
      </w:pPr>
      <w:r>
        <w:t xml:space="preserve">1.5 Visión general del documento</w:t>
      </w:r>
    </w:p>
    <w:p>
      <w:pPr>
        <w:spacing w:after="120"/>
      </w:pPr>
      <w:r>
        <w:t xml:space="preserve">La sección 2 describe el sistema en términos generales: perspectiva, funciones, usuarios, restricciones y supuestos. La sección 3 contiene la especificación detallada: interfaces externas, requisitos funcionales agrupados por módulo (con entradas, proceso, salidas y prioridad) y requisitos no funcionales. Los apéndices incluyen glosario extendido, matriz de trazabilidad y matriz de roles y permisos.</w:t>
      </w:r>
    </w:p>
    <w:p>
      <w:pPr>
        <w:pStyle w:val="Heading1"/>
        <w:spacing w:after="200" w:before="400"/>
      </w:pPr>
      <w:r>
        <w:t xml:space="preserve">2. Descripción general</w:t>
      </w:r>
    </w:p>
    <w:p>
      <w:pPr>
        <w:pStyle w:val="Heading2"/>
        <w:spacing w:after="150" w:before="300"/>
      </w:pPr>
      <w:r>
        <w:t xml:space="preserve">2.1 Perspectiva del producto</w:t>
      </w:r>
    </w:p>
    <w:p>
      <w:pPr>
        <w:spacing w:after="120"/>
      </w:pPr>
      <w:r>
        <w:t xml:space="preserve">El sistema es una aplicación web nueva (no reemplaza ningún sistema previo, ya que la operatoria es en papel). Se compone de: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Frontend: SPA en React, consumida desde navegador por el personal de la fundación (ADMIN / OPERATOR) y, para el portal de autogestión, por los propios beneficiarios (APPLICANT).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Backend: API REST en Spring Boot, stateless, autenticada con JWT.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Base de datos: PostgreSQL, única fuente de verdad transaccional.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Servicios de terceros con los que el backend se integra: RENAPER (SID), verificación local del PDF de ANSES (no es un servicio de terceros, es procesamiento propio), 17TRACK (logística), Cloudflare R2 (almacenamiento de imágenes/PDFs).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Cliente embebido en el navegador: MediaPipe Face Mesh para el probador virtual, ejecutado 100% en el dispositivo del usuario.</w:t>
      </w:r>
    </w:p>
    <w:p>
      <w:pPr>
        <w:spacing w:after="120"/>
      </w:pPr>
      <w:r>
        <w:t xml:space="preserve">Diagrama de contexto: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5819775" cy="32099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19775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/>
      </w:pPr>
    </w:p>
    <w:p>
      <w:pPr>
        <w:pStyle w:val="Heading2"/>
        <w:spacing w:after="150" w:before="300"/>
      </w:pPr>
      <w:r>
        <w:t xml:space="preserve">2.2 Funciones del producto</w:t>
      </w:r>
    </w:p>
    <w:p>
      <w:pPr>
        <w:spacing w:after="120"/>
      </w:pPr>
      <w:r>
        <w:t xml:space="preserve">Agrupadas por módulo (correspondencia 1 a 1 con los dominios del backend):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Módulo</w:t>
            </w:r>
          </w:p>
        </w:tc>
        <w:tc>
          <w:tcPr>
            <w:tcW w:type="dxa" w:w="6160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Función principal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Solicitantes y Validación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Alta, validación de identidad y de elegibilidad ANSES, receta médica, consulta/edición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Donaciones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Alta de donantes, recepción y clasificación de marcos donados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Inventario, Asignación y Trazabilidad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Inventario en tiempo real, match receta↔marco, asignación, trazabilidad end-to-end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Probador Virtual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Detección facial y superposición 2D del marco sobre foto estática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Turnos y Notificaciones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Alta, reprogramación, cancelación y notificación de turnos; autogestión del beneficiario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Logística e Integración 17TRACK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Registro y seguimiento de envíos entre sucursales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Panel de Impacto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Indicadores agregados de impacto social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Catálogo de Venta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Catálogo, venta y gestión de stock de anteojos de sol</w:t>
            </w:r>
          </w:p>
        </w:tc>
      </w:tr>
    </w:tbl>
    <w:p>
      <w:pPr>
        <w:pStyle w:val="Heading2"/>
        <w:spacing w:after="150" w:before="300"/>
      </w:pPr>
      <w:r>
        <w:t xml:space="preserve">2.3 Características de los usuarios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200"/>
        <w:gridCol w:w="2960"/>
      </w:tblGrid>
      <w:tr>
        <w:trPr>
          <w:tblHeader/>
        </w:trPr>
        <w:tc>
          <w:tcPr>
            <w:tcW w:type="dxa" w:w="2200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Rol</w:t>
            </w:r>
          </w:p>
        </w:tc>
        <w:tc>
          <w:tcPr>
            <w:tcW w:type="dxa" w:w="4200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2960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Nivel técnico esperado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 usuarios, configuración y catálogo de venta. Acceso completo al sistema.</w:t>
            </w:r>
          </w:p>
        </w:tc>
        <w:tc>
          <w:tcPr>
            <w:tcW w:type="dxa" w:w="29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Personal de la fundación, no técnico, capacitación ~30 min (RNF-05)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OPERATOR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Uso diario: registra solicitantes/donaciones, valida elegibilidad, asigna marcos, gestiona turnos y envíos.</w:t>
            </w:r>
          </w:p>
        </w:tc>
        <w:tc>
          <w:tcPr>
            <w:tcW w:type="dxa" w:w="29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Personal de la fundación, no técnico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APPLICANT (beneficiario)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autogestiona: pide turno, sube comprobante del bono contribución, consulta el estado de su marco, usa el probador virtual.</w:t>
            </w:r>
          </w:p>
        </w:tc>
        <w:tc>
          <w:tcPr>
            <w:tcW w:type="dxa" w:w="29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Público general, sin capacitación previa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Comprador del catálogo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Navega el catálogo de anteojos de sol. No requiere cuenta para verlo; la venta la registra un OPERATOR/ADMIN.</w:t>
            </w:r>
          </w:p>
        </w:tc>
        <w:tc>
          <w:tcPr>
            <w:tcW w:type="dxa" w:w="29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Público general</w:t>
            </w:r>
          </w:p>
        </w:tc>
      </w:tr>
    </w:tbl>
    <w:p>
      <w:pPr>
        <w:pStyle w:val="Heading2"/>
        <w:spacing w:after="150" w:before="300"/>
      </w:pPr>
      <w:r>
        <w:t xml:space="preserve">2.4 Restricciones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El backend debe seguir arquitectura en 4 capas con aislamiento estricto entre dominios (ver Documento de Arquitectura, sección Vistas — Vista de Desarrollo).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El schema de base de datos se gestiona exclusivamente por migraciones Flyway (append-only); no se permite DDL generado por Hibernate.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se persisten binarios en PostgreSQL: toda imagen/PDF va a Cloudflare R2 y solo su URL se guarda en base de datos (RNF-07).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El probador virtual no puede depender de un servidor de procesamiento externo (RNF-04): debe funcionar con superposición 2D sobre foto estática, compatible con dispositivos de gama baja.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El plan gratuito de 17TRACK limita a 100 envíos/mes; el sistema no debe asumir un volumen mayor sin migrar de plan.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Idioma del código: inglés. Idioma de la interfaz y de los mensajes al usuario final: español (ver CLAUDE.md del proyecto).</w:t>
      </w:r>
    </w:p>
    <w:p>
      <w:pPr>
        <w:pStyle w:val="Heading2"/>
        <w:spacing w:after="150" w:before="300"/>
      </w:pPr>
      <w:r>
        <w:t xml:space="preserve">2.5 Supuestos y dependencias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 asume que la fundación gestiona por fuera del sistema el convenio de confronte de datos con RENAPER (trámite TAD, PT-1.2.7 de la EDT); el sistema solo consume el servicio una vez habilitado.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 asume disponibilidad de conectividad a internet en el punto de atención para consultar RENAPER y 17TRACK; ante indisponibilidad de RENAPER, el sistema depende de que el operador ejecute la validación presencial documentada como alternativa (RF-06).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 asume que el monto del bono contribución y la validez del comprobante los verifica un humano (operador), no el sistema — el sistema solo garantiza que no se confirme un turno sin que el operador haya revisado y aprobado el comprobante cargado.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Depende de que Cloudflare R2 y 17TRACK estén operativos para sus respectivas funciones; ambos son servicios externos fuera del control del equipo de desarrollo.</w:t>
      </w:r>
    </w:p>
    <w:p>
      <w:pPr>
        <w:pStyle w:val="Heading1"/>
        <w:spacing w:after="200" w:before="400"/>
      </w:pPr>
      <w:r>
        <w:t xml:space="preserve">3. Requisitos específicos</w:t>
      </w:r>
    </w:p>
    <w:p>
      <w:pPr>
        <w:pStyle w:val="Heading2"/>
        <w:spacing w:after="150" w:before="300"/>
      </w:pPr>
      <w:r>
        <w:t xml:space="preserve">3.1 Requisitos de interfaces externas</w:t>
      </w:r>
    </w:p>
    <w:p>
      <w:pPr>
        <w:pStyle w:val="Heading3"/>
        <w:spacing w:after="120" w:before="240"/>
      </w:pPr>
      <w:r>
        <w:t xml:space="preserve">3.1.1 Interfaces de usuario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Aplicación web responsive, operable desde navegadores de escritorio y dispositivos móviles modernos (RNF-11).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Formularios con validación en el borde (cliente) y mensajes de error en español, sin exponer detalles internos (stack traces, nombres de tablas).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Navegación diferenciada por rol: menú y rutas visibles según ADMIN / OPERATOR / APPLICANT.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Convención de fecha única DD/MM/YYYY (ART) en toda la interfaz.</w:t>
      </w:r>
    </w:p>
    <w:p>
      <w:pPr>
        <w:pStyle w:val="Heading3"/>
        <w:spacing w:after="120" w:before="240"/>
      </w:pPr>
      <w:r>
        <w:t xml:space="preserve">3.1.2 Interfaces de hardware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Cámara del dispositivo del usuario para captura de foto (alta de marcos, probador virtual), acceso mediado por API estándar del navegador (getUserMedia); sin hardware propietario.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Sin requerimiento de hardware específico del lado servidor más allá de lo provisto por el hosting (Render).</w:t>
      </w:r>
    </w:p>
    <w:p>
      <w:pPr>
        <w:pStyle w:val="Heading3"/>
        <w:spacing w:after="120" w:before="240"/>
      </w:pPr>
      <w:r>
        <w:t xml:space="preserve">3.1.3 Interfaces de software (servicios de terceros)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200"/>
        <w:gridCol w:w="2200"/>
        <w:gridCol w:w="1960"/>
      </w:tblGrid>
      <w:tr>
        <w:trPr>
          <w:tblHeader/>
        </w:trPr>
        <w:tc>
          <w:tcPr>
            <w:tcW w:type="dxa" w:w="2000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Servicio</w:t>
            </w:r>
          </w:p>
        </w:tc>
        <w:tc>
          <w:tcPr>
            <w:tcW w:type="dxa" w:w="3200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Propósito</w:t>
            </w:r>
          </w:p>
        </w:tc>
        <w:tc>
          <w:tcPr>
            <w:tcW w:type="dxa" w:w="2200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Protocolo</w:t>
            </w:r>
          </w:p>
        </w:tc>
        <w:tc>
          <w:tcPr>
            <w:tcW w:type="dxa" w:w="1960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Notas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RENAPER — SID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Validar identidad del solicitante a partir del DNI (RF-02)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API vía convenio de confronte de datos (TAD)</w:t>
            </w:r>
          </w:p>
        </w:tc>
        <w:tc>
          <w:tcPr>
            <w:tcW w:type="dxa" w:w="19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 aislado RenaperClient; fallback presencial si no disponible (RF-06)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ANSES (verificación local)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Extraer CUIL y fecha de emisión del código de barras del PDF de Certificación Negativa (RF-04, RF-05)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Procesamiento local del PDF, no hay API pública</w:t>
            </w:r>
          </w:p>
        </w:tc>
        <w:tc>
          <w:tcPr>
            <w:tcW w:type="dxa" w:w="19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es un cliente de terceros; vive en business/applicants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17TRACK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Registrar y seguir envíos entre sucursales por Vía Cargo (RF-23, RF-24)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REST /register + webhook push</w:t>
            </w:r>
          </w:p>
        </w:tc>
        <w:tc>
          <w:tcPr>
            <w:tcW w:type="dxa" w:w="19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 aislado TrackingClient; tier gratuito, 100 envíos/mes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Cloudflare R2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Almacenar imágenes de marcos/catálogo y PDFs (recetas, ANSES, comprobantes)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API S3-compatible</w:t>
            </w:r>
          </w:p>
        </w:tc>
        <w:tc>
          <w:tcPr>
            <w:tcW w:type="dxa" w:w="19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Solo se persiste la URL en PostgreSQL (RNF-07)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MediaPipe Face Mesh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Detección de rostro en el navegador para el probador virtual (RF-17)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Librería cliente (WASM/JS), sin llamada a servidor</w:t>
            </w:r>
          </w:p>
        </w:tc>
        <w:tc>
          <w:tcPr>
            <w:tcW w:type="dxa" w:w="19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Ejecuta 100% en el dispositivo del usuario</w:t>
            </w:r>
          </w:p>
        </w:tc>
      </w:tr>
    </w:tbl>
    <w:p>
      <w:pPr>
        <w:pStyle w:val="Heading3"/>
        <w:spacing w:after="120" w:before="240"/>
      </w:pPr>
      <w:r>
        <w:t xml:space="preserve">3.1.4 Interfaces de comunicación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Toda comunicación frontend↔backend por HTTPS, API REST versionada (/v1/...), JSON en camelCase.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Autenticación stateless por header Authorization: Bearer &lt;JWT&gt;.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Webhook entrante de 17TRACK sobre HTTPS (POST /v1/shipments/webhook), sin sesión de usuario asociada.</w:t>
      </w:r>
    </w:p>
    <w:p>
      <w:pPr>
        <w:pStyle w:val="Heading2"/>
        <w:spacing w:after="150" w:before="300"/>
      </w:pPr>
      <w:r>
        <w:t xml:space="preserve">3.2 Requisitos funcionales</w:t>
      </w:r>
    </w:p>
    <w:p>
      <w:pPr>
        <w:spacing w:after="120"/>
      </w:pPr>
      <w:r>
        <w:t xml:space="preserve">Cada requisito funcional se especifica con: descripción, entradas, proceso, salidas y prioridad (Alta = crítico para el flujo core del banco de anteojos; Media = valor agregado; Baja = mejora/complementario).</w:t>
      </w:r>
    </w:p>
    <w:p>
      <w:pPr>
        <w:pStyle w:val="Heading3"/>
        <w:spacing w:after="120" w:before="240"/>
      </w:pPr>
      <w:r>
        <w:t xml:space="preserve">Módulo 1 — Solicitantes y Validación</w:t>
      </w:r>
    </w:p>
    <w:p>
      <w:pPr>
        <w:spacing w:after="80" w:before="180"/>
      </w:pPr>
      <w:r>
        <w:rPr>
          <w:b/>
          <w:bCs/>
        </w:rPr>
        <w:t xml:space="preserve">RF-01 — Registrar solicitante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Descripción: </w:t>
      </w:r>
      <w:r>
        <w:t xml:space="preserve">el sistema permite registrar un beneficiario con sus datos personales y DNI.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Entradas: </w:t>
      </w:r>
      <w:r>
        <w:t xml:space="preserve">nombre, apellido, DNI, fecha de nacimiento, teléfono, email.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Proceso: </w:t>
      </w:r>
      <w:r>
        <w:t xml:space="preserve">valida formato de DNI y unicidad; crea el registro con identityValidated = false.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Salidas: </w:t>
      </w:r>
      <w:r>
        <w:t xml:space="preserve">solicitante creado, con ID único.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Prioridad: </w:t>
      </w:r>
      <w:r>
        <w:rPr>
          <w:b/>
          <w:bCs/>
        </w:rPr>
        <w:t xml:space="preserve">Alta</w:t>
      </w:r>
    </w:p>
    <w:p>
      <w:pPr>
        <w:spacing w:after="80" w:before="180"/>
      </w:pPr>
      <w:r>
        <w:rPr>
          <w:b/>
          <w:bCs/>
        </w:rPr>
        <w:t xml:space="preserve">RF-02 — Validación de identidad vía RENAPER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Descripción: </w:t>
      </w:r>
      <w:r>
        <w:t xml:space="preserve">el sistema integra el SID de RENAPER para validar la identidad a partir del DNI.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Entradas: </w:t>
      </w:r>
      <w:r>
        <w:t xml:space="preserve">DNI del solicitante.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Proceso: </w:t>
      </w:r>
      <w:r>
        <w:t xml:space="preserve">consulta al SID; si coincide, marca identityValidated = true.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Salidas: </w:t>
      </w:r>
      <w:r>
        <w:t xml:space="preserve">resultado de validación (validado / no validado / servicio no disponible).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Prioridad: </w:t>
      </w:r>
      <w:r>
        <w:rPr>
          <w:b/>
          <w:bCs/>
        </w:rPr>
        <w:t xml:space="preserve">Alta</w:t>
      </w:r>
    </w:p>
    <w:p>
      <w:pPr>
        <w:spacing w:after="80" w:before="180"/>
      </w:pPr>
      <w:r>
        <w:rPr>
          <w:b/>
          <w:bCs/>
        </w:rPr>
        <w:t xml:space="preserve">RF-03 — Carga de PDF de Certificación Negativa de ANSES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Descripción: </w:t>
      </w:r>
      <w:r>
        <w:t xml:space="preserve">el sistema permite adjuntar el PDF de ANSES del solicitante.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Entradas: </w:t>
      </w:r>
      <w:r>
        <w:t xml:space="preserve">archivo PDF.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Proceso: </w:t>
      </w:r>
      <w:r>
        <w:t xml:space="preserve">sube el PDF a Cloudflare R2 y asocia la URL al solicitante.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Salidas: </w:t>
      </w:r>
      <w:r>
        <w:t xml:space="preserve">certificado ANSES registrado, pendiente de verificación.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Prioridad: </w:t>
      </w:r>
      <w:r>
        <w:rPr>
          <w:b/>
          <w:bCs/>
        </w:rPr>
        <w:t xml:space="preserve">Alta</w:t>
      </w:r>
    </w:p>
    <w:p>
      <w:pPr>
        <w:spacing w:after="80" w:before="180"/>
      </w:pPr>
      <w:r>
        <w:rPr>
          <w:b/>
          <w:bCs/>
        </w:rPr>
        <w:t xml:space="preserve">RF-04 — Verificación de CUIL por código de barras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Descripción: </w:t>
      </w:r>
      <w:r>
        <w:t xml:space="preserve">el sistema lee el código de barras del PDF de ANSES, extrae el CUIL codificado y verifica que coincide con el solicitante.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Entradas: </w:t>
      </w:r>
      <w:r>
        <w:t xml:space="preserve">PDF cargado en RF-03.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Proceso: </w:t>
      </w:r>
      <w:r>
        <w:t xml:space="preserve">decodifica el código de barras (formato CUIL-NroTransacción); compara el CUIL contra el registrado o lo asocia si es la primera verificación.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Salidas: </w:t>
      </w:r>
      <w:r>
        <w:t xml:space="preserve">coincidencia confirmada o rechazo con motivo.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Prioridad: </w:t>
      </w:r>
      <w:r>
        <w:rPr>
          <w:b/>
          <w:bCs/>
        </w:rPr>
        <w:t xml:space="preserve">Alta</w:t>
      </w:r>
    </w:p>
    <w:p>
      <w:pPr>
        <w:spacing w:after="80" w:before="180"/>
      </w:pPr>
      <w:r>
        <w:rPr>
          <w:b/>
          <w:bCs/>
        </w:rPr>
        <w:t xml:space="preserve">RF-05 — Verificación de vigencia del certificado ANSES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Descripción: </w:t>
      </w:r>
      <w:r>
        <w:t xml:space="preserve">extrae la fecha de emisión del PDF y rechaza automáticamente documentos con más de 30 días de antigüedad; la validación final queda a criterio del operador.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Entradas: </w:t>
      </w:r>
      <w:r>
        <w:t xml:space="preserve">PDF cargado en RF-03.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Proceso: </w:t>
      </w:r>
      <w:r>
        <w:t xml:space="preserve">calcula antigüedad respecto a la fecha actual; marca como vencido si supera 30 días.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Salidas: </w:t>
      </w:r>
      <w:r>
        <w:t xml:space="preserve">estado de vigencia (vigente/vencido), no bloqueante, informativo para el operador.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Prioridad: </w:t>
      </w:r>
      <w:r>
        <w:rPr>
          <w:b/>
          <w:bCs/>
        </w:rPr>
        <w:t xml:space="preserve">Alta</w:t>
      </w:r>
    </w:p>
    <w:p>
      <w:pPr>
        <w:spacing w:after="80" w:before="180"/>
      </w:pPr>
      <w:r>
        <w:rPr>
          <w:b/>
          <w:bCs/>
        </w:rPr>
        <w:t xml:space="preserve">RF-06 — Validación presencial alternativa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Descripción: </w:t>
      </w:r>
      <w:r>
        <w:t xml:space="preserve">ante indisponibilidad del SID de RENAPER, habilita la validación presencial del DNI documentada por el operador como alternativa.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Entradas: </w:t>
      </w:r>
      <w:r>
        <w:t xml:space="preserve">confirmación manual del operador (DNI físico verificado).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Proceso: </w:t>
      </w:r>
      <w:r>
        <w:t xml:space="preserve">registra la validación como manual, con el operador responsable.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Salidas: </w:t>
      </w:r>
      <w:r>
        <w:t xml:space="preserve">identityValidated = true por vía alternativa, trazado como tal.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Prioridad: </w:t>
      </w:r>
      <w:r>
        <w:rPr>
          <w:b/>
          <w:bCs/>
        </w:rPr>
        <w:t xml:space="preserve">Media</w:t>
      </w:r>
    </w:p>
    <w:p>
      <w:pPr>
        <w:spacing w:after="80" w:before="180"/>
      </w:pPr>
      <w:r>
        <w:rPr>
          <w:b/>
          <w:bCs/>
        </w:rPr>
        <w:t xml:space="preserve">RF-07 — Registrar receta médica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Descripción: </w:t>
      </w:r>
      <w:r>
        <w:t xml:space="preserve">el sistema permite registrar la receta (graduación) del beneficiario.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Entradas: </w:t>
      </w:r>
      <w:r>
        <w:t xml:space="preserve">valores de graduación (por ojo), archivo de la receta (opcional).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Proceso: </w:t>
      </w:r>
      <w:r>
        <w:t xml:space="preserve">asocia la receta al solicitante; puede haber más de una en el tiempo.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Salidas: </w:t>
      </w:r>
      <w:r>
        <w:t xml:space="preserve">receta registrada, disponible para el algoritmo de match (RF-14).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Prioridad: </w:t>
      </w:r>
      <w:r>
        <w:rPr>
          <w:b/>
          <w:bCs/>
        </w:rPr>
        <w:t xml:space="preserve">Alta</w:t>
      </w:r>
    </w:p>
    <w:p>
      <w:pPr>
        <w:spacing w:after="80" w:before="180"/>
      </w:pPr>
      <w:r>
        <w:rPr>
          <w:b/>
          <w:bCs/>
        </w:rPr>
        <w:t xml:space="preserve">RF-08 — Consultar, editar y listar solicitantes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Descripción: </w:t>
      </w:r>
      <w:r>
        <w:t xml:space="preserve">permite listar, buscar, ver el detalle y editar los datos de un solicitante.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Entradas: </w:t>
      </w:r>
      <w:r>
        <w:t xml:space="preserve">filtros de búsqueda (DNI, nombre) o ID de solicitante; datos a editar.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Proceso: </w:t>
      </w:r>
      <w:r>
        <w:t xml:space="preserve">consulta paginada; edición valida los mismos formatos que el alta (DNI no editable post-creación, por ser la identidad validada contra RENAPER).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Salidas: </w:t>
      </w:r>
      <w:r>
        <w:t xml:space="preserve">listado, detalle o confirmación de edición.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Prioridad: </w:t>
      </w:r>
      <w:r>
        <w:rPr>
          <w:b/>
          <w:bCs/>
        </w:rPr>
        <w:t xml:space="preserve">Alta</w:t>
      </w:r>
    </w:p>
    <w:p>
      <w:pPr>
        <w:pStyle w:val="Heading3"/>
        <w:spacing w:after="120" w:before="240"/>
      </w:pPr>
      <w:r>
        <w:t xml:space="preserve">Módulo 2 — Donaciones</w:t>
      </w:r>
    </w:p>
    <w:p>
      <w:pPr>
        <w:spacing w:after="80" w:before="180"/>
      </w:pPr>
      <w:r>
        <w:rPr>
          <w:b/>
          <w:bCs/>
        </w:rPr>
        <w:t xml:space="preserve">RF-09 — Registrar donante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Descripción: </w:t>
      </w:r>
      <w:r>
        <w:t xml:space="preserve">permite registrar un donante, persona física o entidad.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Entradas: </w:t>
      </w:r>
      <w:r>
        <w:t xml:space="preserve">tipo de donante, datos de contacto.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Proceso: </w:t>
      </w:r>
      <w:r>
        <w:t xml:space="preserve">valida datos mínimos según tipo; crea el registro.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Salidas: </w:t>
      </w:r>
      <w:r>
        <w:t xml:space="preserve">donante creado con ID único.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Prioridad: </w:t>
      </w:r>
      <w:r>
        <w:rPr>
          <w:b/>
          <w:bCs/>
        </w:rPr>
        <w:t xml:space="preserve">Alta</w:t>
      </w:r>
    </w:p>
    <w:p>
      <w:pPr>
        <w:spacing w:after="80" w:before="180"/>
      </w:pPr>
      <w:r>
        <w:rPr>
          <w:b/>
          <w:bCs/>
        </w:rPr>
        <w:t xml:space="preserve">RF-10 — Registrar recepción de marcos donados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Descripción: </w:t>
      </w:r>
      <w:r>
        <w:t xml:space="preserve">registra la recepción de marcos donados, asignando a cada uno un identificador único (precinto).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Entradas: </w:t>
      </w:r>
      <w:r>
        <w:t xml:space="preserve">donante, cantidad y datos de cada marco.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Proceso: </w:t>
      </w:r>
      <w:r>
        <w:t xml:space="preserve">crea un Frame por unidad, vinculado al donante, en estado AVAILABLE.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Salidas: </w:t>
      </w:r>
      <w:r>
        <w:t xml:space="preserve">marcos registrados en inventario.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Prioridad: </w:t>
      </w:r>
      <w:r>
        <w:rPr>
          <w:b/>
          <w:bCs/>
        </w:rPr>
        <w:t xml:space="preserve">Alta</w:t>
      </w:r>
    </w:p>
    <w:p>
      <w:pPr>
        <w:spacing w:after="80" w:before="180"/>
      </w:pPr>
      <w:r>
        <w:rPr>
          <w:b/>
          <w:bCs/>
        </w:rPr>
        <w:t xml:space="preserve">RF-11 — Clasificar marcos por atributos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Descripción: </w:t>
      </w:r>
      <w:r>
        <w:t xml:space="preserve">permite clasificar los marcos según tipo, material y medidas.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Entradas: </w:t>
      </w:r>
      <w:r>
        <w:t xml:space="preserve">tipo de marco, material, medidas.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Proceso: </w:t>
      </w:r>
      <w:r>
        <w:t xml:space="preserve">persiste los atributos como parte del Frame, usados luego por el algoritmo de match.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Salidas: </w:t>
      </w:r>
      <w:r>
        <w:t xml:space="preserve">marco clasificado.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Prioridad: </w:t>
      </w:r>
      <w:r>
        <w:rPr>
          <w:b/>
          <w:bCs/>
        </w:rPr>
        <w:t xml:space="preserve">Alta</w:t>
      </w:r>
    </w:p>
    <w:p>
      <w:pPr>
        <w:spacing w:after="80" w:before="180"/>
      </w:pPr>
      <w:r>
        <w:rPr>
          <w:b/>
          <w:bCs/>
        </w:rPr>
        <w:t xml:space="preserve">RF-12 — Consultar y listar donaciones y donantes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Descripción: </w:t>
      </w:r>
      <w:r>
        <w:t xml:space="preserve">permite consultar el historial de donaciones por donante y listar donantes.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Entradas: </w:t>
      </w:r>
      <w:r>
        <w:t xml:space="preserve">filtros de búsqueda.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Proceso: </w:t>
      </w:r>
      <w:r>
        <w:t xml:space="preserve">consulta paginada.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Salidas: </w:t>
      </w:r>
      <w:r>
        <w:t xml:space="preserve">listado de donantes / marcos donados por donante.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Prioridad: </w:t>
      </w:r>
      <w:r>
        <w:rPr>
          <w:b/>
          <w:bCs/>
        </w:rPr>
        <w:t xml:space="preserve">Media</w:t>
      </w:r>
    </w:p>
    <w:p>
      <w:pPr>
        <w:pStyle w:val="Heading3"/>
        <w:spacing w:after="120" w:before="240"/>
      </w:pPr>
      <w:r>
        <w:t xml:space="preserve">Módulo 3 — Inventario, Asignación y Trazabilidad</w:t>
      </w:r>
    </w:p>
    <w:p>
      <w:pPr>
        <w:spacing w:after="80" w:before="180"/>
      </w:pPr>
      <w:r>
        <w:rPr>
          <w:b/>
          <w:bCs/>
        </w:rPr>
        <w:t xml:space="preserve">RF-13 — Inventario en tiempo real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Descripción: </w:t>
      </w:r>
      <w:r>
        <w:t xml:space="preserve">mantiene el control de inventario en tiempo real de los marcos disponibles.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Entradas: </w:t>
      </w:r>
      <w:r>
        <w:t xml:space="preserve">altas/bajas/cambios de estado de marcos.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Proceso: </w:t>
      </w:r>
      <w:r>
        <w:t xml:space="preserve">cada transición de estado (AVAILABLE → ASSIGNED → AT_OPTICIAN → READY → DELIVERED, o DISCARDED) se refleja de inmediato en la consulta de inventario.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Salidas: </w:t>
      </w:r>
      <w:r>
        <w:t xml:space="preserve">vista de inventario actualizada, filtrable por estado/atributos.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Prioridad: </w:t>
      </w:r>
      <w:r>
        <w:rPr>
          <w:b/>
          <w:bCs/>
        </w:rPr>
        <w:t xml:space="preserve">Alta</w:t>
      </w:r>
    </w:p>
    <w:p>
      <w:pPr>
        <w:spacing w:after="80" w:before="180"/>
      </w:pPr>
      <w:r>
        <w:rPr>
          <w:b/>
          <w:bCs/>
        </w:rPr>
        <w:t xml:space="preserve">RF-14 — Algoritmo de match receta↔marco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Descripción: </w:t>
      </w:r>
      <w:r>
        <w:t xml:space="preserve">ejecuta un match entre la receta médica del beneficiario y los atributos de los marcos disponibles.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Entradas: </w:t>
      </w:r>
      <w:r>
        <w:t xml:space="preserve">receta del beneficiario, inventario disponible.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Proceso: </w:t>
      </w:r>
      <w:r>
        <w:t xml:space="preserve">filtra/ordena marcos candidatos según compatibilidad con la graduación y atributos requeridos.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Salidas: </w:t>
      </w:r>
      <w:r>
        <w:t xml:space="preserve">lista de marcos candidatos para asignar.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Prioridad: </w:t>
      </w:r>
      <w:r>
        <w:rPr>
          <w:b/>
          <w:bCs/>
        </w:rPr>
        <w:t xml:space="preserve">Alta</w:t>
      </w:r>
    </w:p>
    <w:p>
      <w:pPr>
        <w:spacing w:after="80" w:before="180"/>
      </w:pPr>
      <w:r>
        <w:rPr>
          <w:b/>
          <w:bCs/>
        </w:rPr>
        <w:t xml:space="preserve">RF-15 — Asignar marco a beneficiario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Descripción: </w:t>
      </w:r>
      <w:r>
        <w:t xml:space="preserve">permite asignar un marco a un beneficiario y descuenta la unidad del inventario.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Entradas: </w:t>
      </w:r>
      <w:r>
        <w:t xml:space="preserve">solicitante, receta, marco elegido.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Proceso: </w:t>
      </w:r>
      <w:r>
        <w:t xml:space="preserve">crea una Assignment, cambia el marco a ASSIGNED.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Salidas: </w:t>
      </w:r>
      <w:r>
        <w:t xml:space="preserve">asignación creada, marco removido del inventario disponible.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Prioridad: </w:t>
      </w:r>
      <w:r>
        <w:rPr>
          <w:b/>
          <w:bCs/>
        </w:rPr>
        <w:t xml:space="preserve">Alta</w:t>
      </w:r>
    </w:p>
    <w:p>
      <w:pPr>
        <w:spacing w:after="80" w:before="180"/>
      </w:pPr>
      <w:r>
        <w:rPr>
          <w:b/>
          <w:bCs/>
        </w:rPr>
        <w:t xml:space="preserve">RF-16 — Trazabilidad end-to-end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Descripción: </w:t>
      </w:r>
      <w:r>
        <w:t xml:space="preserve">mantiene la trazabilidad de cada par de anteojos desde la donación hasta la entrega.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Entradas: </w:t>
      </w:r>
      <w:r>
        <w:t xml:space="preserve">eventos de ciclo de vida (envío a óptica, retorno, entrega, cancelación).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Proceso: </w:t>
      </w:r>
      <w:r>
        <w:t xml:space="preserve">cada transición queda registrada con fecha y responsable, consultable desde la asignación.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Salidas: </w:t>
      </w:r>
      <w:r>
        <w:t xml:space="preserve">historial completo consultable por asignación o por marco.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Prioridad: </w:t>
      </w:r>
      <w:r>
        <w:rPr>
          <w:b/>
          <w:bCs/>
        </w:rPr>
        <w:t xml:space="preserve">Alta</w:t>
      </w:r>
    </w:p>
    <w:p>
      <w:pPr>
        <w:pStyle w:val="Heading3"/>
        <w:spacing w:after="120" w:before="240"/>
      </w:pPr>
      <w:r>
        <w:t xml:space="preserve">Módulo 4 — Probador Virtual</w:t>
      </w:r>
    </w:p>
    <w:p>
      <w:pPr>
        <w:spacing w:after="80" w:before="180"/>
      </w:pPr>
      <w:r>
        <w:rPr>
          <w:b/>
          <w:bCs/>
        </w:rPr>
        <w:t xml:space="preserve">RF-17 — Detección de rostro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Descripción: </w:t>
      </w:r>
      <w:r>
        <w:t xml:space="preserve">detecta el rostro sobre una foto estática del beneficiario usando MediaPipe Face Mesh.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Entradas: </w:t>
      </w:r>
      <w:r>
        <w:t xml:space="preserve">foto estática (cámara o archivo).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Proceso: </w:t>
      </w:r>
      <w:r>
        <w:t xml:space="preserve">procesamiento client-side con MediaPipe; si falla, degrada a estado "no disponible" sin romper el resto de la app.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Salidas: </w:t>
      </w:r>
      <w:r>
        <w:t xml:space="preserve">puntos de referencia faciales (landmarks).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Prioridad: </w:t>
      </w:r>
      <w:r>
        <w:rPr>
          <w:b/>
          <w:bCs/>
        </w:rPr>
        <w:t xml:space="preserve">Media</w:t>
      </w:r>
    </w:p>
    <w:p>
      <w:pPr>
        <w:spacing w:after="80" w:before="180"/>
      </w:pPr>
      <w:r>
        <w:rPr>
          <w:b/>
          <w:bCs/>
        </w:rPr>
        <w:t xml:space="preserve">RF-18 — Superposición 2D del marco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Descripción: </w:t>
      </w:r>
      <w:r>
        <w:t xml:space="preserve">superpone en 2D (Canvas) el marco seleccionado sobre la foto del beneficiario.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Entradas: </w:t>
      </w:r>
      <w:r>
        <w:t xml:space="preserve">landmarks de RF-17, imagen del marco.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Proceso: </w:t>
      </w:r>
      <w:r>
        <w:t xml:space="preserve">posiciona y escala el marco según los landmarks; permite ajuste manual (rotación, altura).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Salidas: </w:t>
      </w:r>
      <w:r>
        <w:t xml:space="preserve">previsualización renderizada en Canvas.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Prioridad: </w:t>
      </w:r>
      <w:r>
        <w:rPr>
          <w:b/>
          <w:bCs/>
        </w:rPr>
        <w:t xml:space="preserve">Media</w:t>
      </w:r>
    </w:p>
    <w:p>
      <w:pPr>
        <w:spacing w:after="80" w:before="180"/>
      </w:pPr>
      <w:r>
        <w:rPr>
          <w:b/>
          <w:bCs/>
        </w:rPr>
        <w:t xml:space="preserve">RF-19 — Selección de distintos marcos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Descripción: </w:t>
      </w:r>
      <w:r>
        <w:t xml:space="preserve">permite seleccionar distintos marcos disponibles para previsualizar cómo lucen.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Entradas: </w:t>
      </w:r>
      <w:r>
        <w:t xml:space="preserve">selección del usuario sobre el catálogo/inventario de marcos.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Proceso: </w:t>
      </w:r>
      <w:r>
        <w:t xml:space="preserve">recalcula la superposición (RF-18) para el marco elegido.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Salidas: </w:t>
      </w:r>
      <w:r>
        <w:t xml:space="preserve">previsualización actualizada.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Prioridad: </w:t>
      </w:r>
      <w:r>
        <w:rPr>
          <w:b/>
          <w:bCs/>
        </w:rPr>
        <w:t xml:space="preserve">Baja</w:t>
      </w:r>
    </w:p>
    <w:p>
      <w:pPr>
        <w:pStyle w:val="Heading3"/>
        <w:spacing w:after="120" w:before="240"/>
      </w:pPr>
      <w:r>
        <w:t xml:space="preserve">Módulo 5 — Turnos y Notificaciones</w:t>
      </w:r>
    </w:p>
    <w:p>
      <w:pPr>
        <w:spacing w:after="80" w:before="180"/>
      </w:pPr>
      <w:r>
        <w:rPr>
          <w:b/>
          <w:bCs/>
        </w:rPr>
        <w:t xml:space="preserve">RF-20 — Registrar turnos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Descripción: </w:t>
      </w:r>
      <w:r>
        <w:t xml:space="preserve">permite registrar turnos de atención para los beneficiarios.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Entradas: </w:t>
      </w:r>
      <w:r>
        <w:t xml:space="preserve">solicitante, fecha/hora deseada.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Proceso: </w:t>
      </w:r>
      <w:r>
        <w:t xml:space="preserve">valida disponibilidad; en el flujo de autogestión, el turno nace en estado PENDING_PAYMENT hasta que se cargue el comprobante del bono contribución, momento en el que pasa a PENDING_REVIEW a la espera de la revisión del operador (RF-21).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Salidas: </w:t>
      </w:r>
      <w:r>
        <w:t xml:space="preserve">turno creado.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Prioridad: </w:t>
      </w:r>
      <w:r>
        <w:rPr>
          <w:b/>
          <w:bCs/>
        </w:rPr>
        <w:t xml:space="preserve">Alta</w:t>
      </w:r>
    </w:p>
    <w:p>
      <w:pPr>
        <w:spacing w:after="80" w:before="180"/>
      </w:pPr>
      <w:r>
        <w:rPr>
          <w:b/>
          <w:bCs/>
        </w:rPr>
        <w:t xml:space="preserve">RF-21 — Gestionar turnos (revisión, reprogramación y cancelación)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Descripción: </w:t>
      </w:r>
      <w:r>
        <w:t xml:space="preserve">permite revisar y aprobar el comprobante del bono contribución, y reprogramar o cancelar turnos.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Entradas: </w:t>
      </w:r>
      <w:r>
        <w:t xml:space="preserve">turno existente, nueva fecha/hora o motivo de cancelación.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Proceso: </w:t>
      </w:r>
      <w:r>
        <w:t xml:space="preserve">el turno cargado con comprobante (PENDING_REVIEW) no queda confirmado automáticamente: el operador lo revisa y recién ahí lo aprueba (PENDING_REVIEW → SCHEDULED, dispara RF-22) o lo cancela si el comprobante tiene un problema. Un turno ya SCHEDULED se puede reprogramar (conserva el estado) o cancelar; valida pertenencia del turno (el beneficiario solo puede gestionar los propios). El sistema valida además que el archivo subido sea realmente un PDF, JPG o PNG (por firma de bytes, no solo por el content-type declarado) y, si es PDF, que su texto sea compatible con un comprobante de pago.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Salidas: </w:t>
      </w:r>
      <w:r>
        <w:t xml:space="preserve">turno actualizado.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Prioridad: </w:t>
      </w:r>
      <w:r>
        <w:rPr>
          <w:b/>
          <w:bCs/>
        </w:rPr>
        <w:t xml:space="preserve">Alta</w:t>
      </w:r>
    </w:p>
    <w:p>
      <w:pPr>
        <w:spacing w:after="80" w:before="180"/>
      </w:pPr>
      <w:r>
        <w:rPr>
          <w:b/>
          <w:bCs/>
        </w:rPr>
        <w:t xml:space="preserve">RF-22 — Notificaciones automáticas de turnos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Descripción: </w:t>
      </w:r>
      <w:r>
        <w:t xml:space="preserve">envía notificaciones automáticas asociadas a los turnos.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Entradas: </w:t>
      </w:r>
      <w:r>
        <w:t xml:space="preserve">evento de turno (confirmación al pasar a SCHEDULED, recordatorio, cancelación).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Proceso: </w:t>
      </w:r>
      <w:r>
        <w:t xml:space="preserve">dispara la notificación correspondiente; un fallo en el envío no debe interrumpir el flujo principal.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Salidas: </w:t>
      </w:r>
      <w:r>
        <w:t xml:space="preserve">notificación entregada al beneficiario (canal a definir: email/SMS).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Prioridad: </w:t>
      </w:r>
      <w:r>
        <w:rPr>
          <w:b/>
          <w:bCs/>
        </w:rPr>
        <w:t xml:space="preserve">Media</w:t>
      </w:r>
    </w:p>
    <w:p>
      <w:pPr>
        <w:pStyle w:val="Heading3"/>
        <w:spacing w:after="120" w:before="240"/>
      </w:pPr>
      <w:r>
        <w:t xml:space="preserve">Módulo 6 — Logística e Integración 17TRACK</w:t>
      </w:r>
    </w:p>
    <w:p>
      <w:pPr>
        <w:spacing w:after="80" w:before="180"/>
      </w:pPr>
      <w:r>
        <w:rPr>
          <w:b/>
          <w:bCs/>
        </w:rPr>
        <w:t xml:space="preserve">RF-23 — Registrar envío en 17TRACK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Descripción: </w:t>
      </w:r>
      <w:r>
        <w:t xml:space="preserve">registra los envíos en 17TRACK (/register) para seguimiento de Vía Cargo.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Entradas: </w:t>
      </w:r>
      <w:r>
        <w:t xml:space="preserve">datos del envío (origen, destino, número de seguimiento de Vía Cargo).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Proceso: </w:t>
      </w:r>
      <w:r>
        <w:t xml:space="preserve">llama al endpoint /register de 17TRACK vía TrackingClient; crea el Shipment en estado despachado.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Salidas: </w:t>
      </w:r>
      <w:r>
        <w:t xml:space="preserve">envío registrado y en seguimiento.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Prioridad: </w:t>
      </w:r>
      <w:r>
        <w:rPr>
          <w:b/>
          <w:bCs/>
        </w:rPr>
        <w:t xml:space="preserve">Media</w:t>
      </w:r>
    </w:p>
    <w:p>
      <w:pPr>
        <w:spacing w:after="80" w:before="180"/>
      </w:pPr>
      <w:r>
        <w:rPr>
          <w:b/>
          <w:bCs/>
        </w:rPr>
        <w:t xml:space="preserve">RF-24 — Actualizaciones automáticas por webhook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Descripción: </w:t>
      </w:r>
      <w:r>
        <w:t xml:space="preserve">recibe actualizaciones automáticas del estado de los envíos mediante webhook push de 17TRACK.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Entradas: </w:t>
      </w:r>
      <w:r>
        <w:t xml:space="preserve">payload del webhook (POST /v1/shipments/webhook).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Proceso: </w:t>
      </w:r>
      <w:r>
        <w:t xml:space="preserve">valida el payload, actualiza el estado del Shipment y registra un ShipmentEvent.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Salidas: </w:t>
      </w:r>
      <w:r>
        <w:t xml:space="preserve">estado del envío actualizado, evento trazado.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Prioridad: </w:t>
      </w:r>
      <w:r>
        <w:rPr>
          <w:b/>
          <w:bCs/>
        </w:rPr>
        <w:t xml:space="preserve">Media</w:t>
      </w:r>
    </w:p>
    <w:p>
      <w:pPr>
        <w:spacing w:after="80" w:before="180"/>
      </w:pPr>
      <w:r>
        <w:rPr>
          <w:b/>
          <w:bCs/>
        </w:rPr>
        <w:t xml:space="preserve">RF-25 — Consultar estado y trazabilidad de envíos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Descripción: </w:t>
      </w:r>
      <w:r>
        <w:t xml:space="preserve">permite consultar el estado y la trazabilidad de los envíos entre sucursales.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Entradas: </w:t>
      </w:r>
      <w:r>
        <w:t xml:space="preserve">ID de envío o filtros.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Proceso: </w:t>
      </w:r>
      <w:r>
        <w:t xml:space="preserve">consulta el envío y su historial de eventos.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Salidas: </w:t>
      </w:r>
      <w:r>
        <w:t xml:space="preserve">estado actual + historial.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Prioridad: </w:t>
      </w:r>
      <w:r>
        <w:rPr>
          <w:b/>
          <w:bCs/>
        </w:rPr>
        <w:t xml:space="preserve">Media</w:t>
      </w:r>
    </w:p>
    <w:p>
      <w:pPr>
        <w:pStyle w:val="Heading3"/>
        <w:spacing w:after="120" w:before="240"/>
      </w:pPr>
      <w:r>
        <w:t xml:space="preserve">Módulo 7 — Panel de Impacto</w:t>
      </w:r>
    </w:p>
    <w:p>
      <w:pPr>
        <w:spacing w:after="80" w:before="180"/>
      </w:pPr>
      <w:r>
        <w:rPr>
          <w:b/>
          <w:bCs/>
        </w:rPr>
        <w:t xml:space="preserve">RF-26 — Panel de indicadores de impacto social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Descripción: </w:t>
      </w:r>
      <w:r>
        <w:t xml:space="preserve">presenta indicadores como entregas realizadas y beneficiarios atendidos.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Entradas: </w:t>
      </w:r>
      <w:r>
        <w:t xml:space="preserve">ninguna (agregación de datos existentes).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Proceso: </w:t>
      </w:r>
      <w:r>
        <w:t xml:space="preserve">calcula agregados (conteos, sumas) sobre asignaciones, entregas y turnos.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Salidas: </w:t>
      </w:r>
      <w:r>
        <w:t xml:space="preserve">panel con indicadores clave.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Prioridad: </w:t>
      </w:r>
      <w:r>
        <w:rPr>
          <w:b/>
          <w:bCs/>
        </w:rPr>
        <w:t xml:space="preserve">Media</w:t>
      </w:r>
    </w:p>
    <w:p>
      <w:pPr>
        <w:spacing w:after="80" w:before="180"/>
      </w:pPr>
      <w:r>
        <w:rPr>
          <w:b/>
          <w:bCs/>
        </w:rPr>
        <w:t xml:space="preserve">RF-27 — Métricas agregadas por período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Descripción: </w:t>
      </w:r>
      <w:r>
        <w:t xml:space="preserve">permite visualizar métricas agregadas filtradas por período.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Entradas: </w:t>
      </w:r>
      <w:r>
        <w:t xml:space="preserve">rango de fechas.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Proceso: </w:t>
      </w:r>
      <w:r>
        <w:t xml:space="preserve">recalcula los indicadores de RF-26 acotados al período.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Salidas: </w:t>
      </w:r>
      <w:r>
        <w:t xml:space="preserve">métricas del período solicitado.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Prioridad: </w:t>
      </w:r>
      <w:r>
        <w:rPr>
          <w:b/>
          <w:bCs/>
        </w:rPr>
        <w:t xml:space="preserve">Baja</w:t>
      </w:r>
    </w:p>
    <w:p>
      <w:pPr>
        <w:pStyle w:val="Heading3"/>
        <w:spacing w:after="120" w:before="240"/>
      </w:pPr>
      <w:r>
        <w:t xml:space="preserve">Módulo 8 — Catálogo de Venta</w:t>
      </w:r>
    </w:p>
    <w:p>
      <w:pPr>
        <w:spacing w:after="80" w:before="180"/>
      </w:pPr>
      <w:r>
        <w:rPr>
          <w:b/>
          <w:bCs/>
        </w:rPr>
        <w:t xml:space="preserve">RF-28 — Catálogo digital de anteojos de sol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Descripción: </w:t>
      </w:r>
      <w:r>
        <w:t xml:space="preserve">muestra un catálogo de anteojos de sol disponibles con su precio.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Entradas: </w:t>
      </w:r>
      <w:r>
        <w:t xml:space="preserve">ninguna (consulta pública).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Proceso: </w:t>
      </w:r>
      <w:r>
        <w:t xml:space="preserve">lista productos en estado activo, con imagen y precio.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Salidas: </w:t>
      </w:r>
      <w:r>
        <w:t xml:space="preserve">catálogo visible.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Prioridad: </w:t>
      </w:r>
      <w:r>
        <w:rPr>
          <w:b/>
          <w:bCs/>
        </w:rPr>
        <w:t xml:space="preserve">Media</w:t>
      </w:r>
    </w:p>
    <w:p>
      <w:pPr>
        <w:spacing w:after="80" w:before="180"/>
      </w:pPr>
      <w:r>
        <w:rPr>
          <w:b/>
          <w:bCs/>
        </w:rPr>
        <w:t xml:space="preserve">RF-29 — Registrar venta con descuento de stock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Descripción: </w:t>
      </w:r>
      <w:r>
        <w:t xml:space="preserve">permite registrar una venta con descuento automático del stock disponible.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Entradas: </w:t>
      </w:r>
      <w:r>
        <w:t xml:space="preserve">producto, cantidad.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Proceso: </w:t>
      </w:r>
      <w:r>
        <w:t xml:space="preserve">valida stock suficiente; crea la Sale y descuenta unidades del Product.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Salidas: </w:t>
      </w:r>
      <w:r>
        <w:t xml:space="preserve">venta registrada, stock actualizado.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Prioridad: </w:t>
      </w:r>
      <w:r>
        <w:rPr>
          <w:b/>
          <w:bCs/>
        </w:rPr>
        <w:t xml:space="preserve">Media</w:t>
      </w:r>
    </w:p>
    <w:p>
      <w:pPr>
        <w:spacing w:after="80" w:before="180"/>
      </w:pPr>
      <w:r>
        <w:rPr>
          <w:b/>
          <w:bCs/>
        </w:rPr>
        <w:t xml:space="preserve">RF-30 — Gestionar stock del catálogo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Descripción: </w:t>
      </w:r>
      <w:r>
        <w:t xml:space="preserve">permite cargar, actualizar y dar de baja productos del catálogo.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Entradas: </w:t>
      </w:r>
      <w:r>
        <w:t xml:space="preserve">datos del producto (alta/edición) o baja lógica.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Proceso: </w:t>
      </w:r>
      <w:r>
        <w:t xml:space="preserve">CRUD sobre Product, incluyendo discontinuación (baja lógica, no borrado físico).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Salidas: </w:t>
      </w:r>
      <w:r>
        <w:t xml:space="preserve">catálogo actualizado.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Prioridad: </w:t>
      </w:r>
      <w:r>
        <w:rPr>
          <w:b/>
          <w:bCs/>
        </w:rPr>
        <w:t xml:space="preserve">Media</w:t>
      </w:r>
    </w:p>
    <w:p>
      <w:pPr>
        <w:pStyle w:val="Heading2"/>
        <w:spacing w:after="150" w:before="300"/>
      </w:pPr>
      <w:r>
        <w:t xml:space="preserve">3.3 Requisitos no funcionales</w:t>
      </w:r>
    </w:p>
    <w:p>
      <w:pPr>
        <w:spacing w:after="80" w:before="180"/>
      </w:pPr>
      <w:r>
        <w:rPr>
          <w:b/>
          <w:bCs/>
        </w:rPr>
        <w:t xml:space="preserve">RNF-01 — Autenticación y autorización</w:t>
      </w:r>
    </w:p>
    <w:p>
      <w:pPr>
        <w:spacing w:after="120"/>
      </w:pPr>
      <w:r>
        <w:t xml:space="preserve">Autenticación mediante JWT stateless, con roles diferenciados ADMIN, OPERATOR y APPLICANT. Cada endpoint valida el rol requerido; el rol APPLICANT solo accede a sus propios recursos (/v1/me/**), nunca a los de otro beneficiario.</w:t>
      </w:r>
    </w:p>
    <w:p>
      <w:pPr>
        <w:spacing w:after="120"/>
      </w:pPr>
      <w:r>
        <w:rPr>
          <w:i/>
          <w:iCs/>
        </w:rPr>
        <w:t xml:space="preserve">Criterio de verificación: </w:t>
      </w:r>
      <w:r>
        <w:t xml:space="preserve">un request sin token o con rol insuficiente responde 401/403.</w:t>
      </w:r>
    </w:p>
    <w:p>
      <w:pPr>
        <w:spacing w:after="80" w:before="180"/>
      </w:pPr>
      <w:r>
        <w:rPr>
          <w:b/>
          <w:bCs/>
        </w:rPr>
        <w:t xml:space="preserve">RNF-02 — Protección de datos personales</w:t>
      </w:r>
    </w:p>
    <w:p>
      <w:pPr>
        <w:spacing w:after="120"/>
      </w:pPr>
      <w:r>
        <w:t xml:space="preserve">Tratamiento de datos personales conforme a la Ley 25.326. Los datos sensibles (DNI, CUIL, datos de salud implícitos en la receta) se acceden solo por roles autorizados y no se exponen en logs ni mensajes de error.</w:t>
      </w:r>
    </w:p>
    <w:p>
      <w:pPr>
        <w:spacing w:after="80" w:before="180"/>
      </w:pPr>
      <w:r>
        <w:rPr>
          <w:b/>
          <w:bCs/>
        </w:rPr>
        <w:t xml:space="preserve">RNF-03 — Gestión de credenciales y secretos</w:t>
      </w:r>
    </w:p>
    <w:p>
      <w:pPr>
        <w:spacing w:after="120"/>
      </w:pPr>
      <w:r>
        <w:t xml:space="preserve">Contraseñas con hash BCrypt. Credenciales y secretos (JWT, R2, API key de 17TRACK) se cargan desde configuración externa (.env), nunca versionados en el repositorio.</w:t>
      </w:r>
    </w:p>
    <w:p>
      <w:pPr>
        <w:spacing w:after="80" w:before="180"/>
      </w:pPr>
      <w:r>
        <w:rPr>
          <w:b/>
          <w:bCs/>
        </w:rPr>
        <w:t xml:space="preserve">RNF-04 — Compatibilidad del probador virtual con gama baja</w:t>
      </w:r>
    </w:p>
    <w:p>
      <w:pPr>
        <w:spacing w:after="120"/>
      </w:pPr>
      <w:r>
        <w:t xml:space="preserve">Superposición 2D sobre foto estática, sin dependencia de un servidor de procesamiento externo; debe funcionar en dispositivos de gama baja.</w:t>
      </w:r>
    </w:p>
    <w:p>
      <w:pPr>
        <w:spacing w:after="80" w:before="180"/>
      </w:pPr>
      <w:r>
        <w:rPr>
          <w:b/>
          <w:bCs/>
        </w:rPr>
        <w:t xml:space="preserve">RNF-05 — Usabilidad para personal no técnico</w:t>
      </w:r>
    </w:p>
    <w:p>
      <w:pPr>
        <w:spacing w:after="120"/>
      </w:pPr>
      <w:r>
        <w:t xml:space="preserve">La interfaz debe ser operable por personal no técnico de la fundación tras una capacitación mínima (~30 minutos): labels claros en español, estados de carga/error visibles, validación en el borde.</w:t>
      </w:r>
    </w:p>
    <w:p>
      <w:pPr>
        <w:spacing w:after="80" w:before="180"/>
      </w:pPr>
      <w:r>
        <w:rPr>
          <w:b/>
          <w:bCs/>
        </w:rPr>
        <w:t xml:space="preserve">RNF-06 — Despliegue en producción</w:t>
      </w:r>
    </w:p>
    <w:p>
      <w:pPr>
        <w:spacing w:after="120"/>
      </w:pPr>
      <w:r>
        <w:t xml:space="preserve">El sistema se despliega en Render (backend + PostgreSQL), a partir del mismo repositorio (backend/ y frontend/ como Root Directory de cada servicio).</w:t>
      </w:r>
    </w:p>
    <w:p>
      <w:pPr>
        <w:spacing w:after="80" w:before="180"/>
      </w:pPr>
      <w:r>
        <w:rPr>
          <w:b/>
          <w:bCs/>
        </w:rPr>
        <w:t xml:space="preserve">RNF-07 — Almacenamiento de imágenes</w:t>
      </w:r>
    </w:p>
    <w:p>
      <w:pPr>
        <w:spacing w:after="120"/>
      </w:pPr>
      <w:r>
        <w:t xml:space="preserve">Las imágenes y PDFs se almacenan en Cloudflare R2; en PostgreSQL se persiste únicamente la URL, nunca el binario.</w:t>
      </w:r>
    </w:p>
    <w:p>
      <w:pPr>
        <w:spacing w:after="80" w:before="180"/>
      </w:pPr>
      <w:r>
        <w:rPr>
          <w:b/>
          <w:bCs/>
        </w:rPr>
        <w:t xml:space="preserve">RNF-08 — Tiempos de respuesta</w:t>
      </w:r>
    </w:p>
    <w:p>
      <w:pPr>
        <w:spacing w:after="120"/>
      </w:pPr>
      <w:r>
        <w:t xml:space="preserve">Las operaciones frecuentes (listados, alta de solicitante, asignación) se mantienen dentro de márgenes aceptables para uso interactivo (referencia orientativa: percibido como inmediato por un operador, sin definir un SLA numérico estricto dado el volumen esperado de la fundación).</w:t>
      </w:r>
    </w:p>
    <w:p>
      <w:pPr>
        <w:spacing w:after="80" w:before="180"/>
      </w:pPr>
      <w:r>
        <w:rPr>
          <w:b/>
          <w:bCs/>
        </w:rPr>
        <w:t xml:space="preserve">RNF-09 — Auditoría de operaciones sensibles</w:t>
      </w:r>
    </w:p>
    <w:p>
      <w:pPr>
        <w:spacing w:after="120"/>
      </w:pPr>
      <w:r>
        <w:t xml:space="preserve">Las operaciones sensibles (validaciones de identidad, asignaciones, entregas, bajas) quedan registradas para su trazabilidad, con fecha y responsable.</w:t>
      </w:r>
    </w:p>
    <w:p>
      <w:pPr>
        <w:spacing w:after="80" w:before="180"/>
      </w:pPr>
      <w:r>
        <w:rPr>
          <w:b/>
          <w:bCs/>
        </w:rPr>
        <w:t xml:space="preserve">RNF-10 — Arquitectura en capas del backend</w:t>
      </w:r>
    </w:p>
    <w:p>
      <w:pPr>
        <w:spacing w:after="120"/>
      </w:pPr>
      <w:r>
        <w:t xml:space="preserve">El backend sigue una arquitectura en capas con separación estricta de responsabilidades: presentation → orchestrator → business → persistence, más un paquete aislado para clientes de terceros. Documentado en backend/CLAUDE.md y en el Documento de Arquitectura (Vista de Desarrollo).</w:t>
      </w:r>
    </w:p>
    <w:p>
      <w:pPr>
        <w:spacing w:after="80" w:before="180"/>
      </w:pPr>
      <w:r>
        <w:rPr>
          <w:b/>
          <w:bCs/>
        </w:rPr>
        <w:t xml:space="preserve">RNF-11 — Compatibilidad de navegadores</w:t>
      </w:r>
    </w:p>
    <w:p>
      <w:pPr>
        <w:spacing w:after="120"/>
      </w:pPr>
      <w:r>
        <w:t xml:space="preserve">El frontend es compatible con navegadores web modernos (últimas versiones de Chrome, Firefox, Edge, Safari).</w:t>
      </w:r>
    </w:p>
    <w:p>
      <w:pPr>
        <w:pStyle w:val="Heading2"/>
        <w:spacing w:after="150" w:before="300"/>
      </w:pPr>
      <w:r>
        <w:t xml:space="preserve">3.4 Reglas de negocio transversales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Validación de pertenencia primero: todo caso de uso que opera sobre un recurso de un beneficiario (turno, asignación, marco) valida primero que ese recurso pertenece a quien lo solicita, antes de ejecutar cualquier otra lógica. Un fallo de pertenencia responde 403.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DNI inmutable: el DNI del solicitante no se edita una vez creado, por ser la identidad contra la que se validó RENAPER.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CUIL derivado, no cargado: el CUIL del solicitante no lo ingresa el operador; queda registrado automáticamente cuando una Certificación Negativa de ANSES válida lo confirma (RF-04).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Turno de autogestión condicionado al pago y a su revisión: un turno creado por autogestión nace PENDING_PAYMENT y pasa a PENDING_REVIEW cuando se sube el comprobante del bono contribución; recién pasa a SCHEDULED (disparando la notificación de RF-22) cuando un operador revisa ese comprobante y lo aprueba — el monto y la validez del comprobante no los valida el sistema, los revisa el operador antes de aprobar.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Baja lógica, no borrado físico: marcos descartados y productos discontinuados cambian de estado (DISCARDED / DISCONTINUED), nunca se eliminan de la base de datos, para preservar la trazabilidad histórica.</w:t>
      </w:r>
    </w:p>
    <w:p>
      <w:pPr>
        <w:pStyle w:val="Heading1"/>
        <w:spacing w:after="200" w:before="400"/>
      </w:pPr>
      <w:r>
        <w:t xml:space="preserve">4. Apéndices</w:t>
      </w:r>
    </w:p>
    <w:p>
      <w:pPr>
        <w:pStyle w:val="Heading2"/>
        <w:spacing w:after="150" w:before="300"/>
      </w:pPr>
      <w:r>
        <w:t xml:space="preserve">Apéndice A — Glosario extendido</w:t>
      </w:r>
    </w:p>
    <w:p>
      <w:pPr>
        <w:spacing w:after="120"/>
      </w:pPr>
      <w:r>
        <w:t xml:space="preserve">Ver sección 1.3. Se amplía con vocabulario de estados: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Estados de Frame: AVAILABLE, ASSIGNED, AT_OPTICIAN, READY, DELIVERED, DISCARDED.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Estados de Appointment: PENDING_PAYMENT, PENDING_REVIEW, SCHEDULED, COMPLETED, MISSED, CANCELLED.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Estados de Product: activo / DISCONTINUED.</w:t>
      </w:r>
    </w:p>
    <w:p>
      <w:pPr>
        <w:pStyle w:val="Heading2"/>
        <w:spacing w:after="150" w:before="300"/>
      </w:pPr>
      <w:r>
        <w:t xml:space="preserve">Apéndice B — Matriz de trazabilidad (resumen)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700"/>
        <w:gridCol w:w="1300"/>
        <w:gridCol w:w="3460"/>
      </w:tblGrid>
      <w:tr>
        <w:trPr>
          <w:tblHeader/>
        </w:trPr>
        <w:tc>
          <w:tcPr>
            <w:tcW w:type="dxa" w:w="2900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Módulo</w:t>
            </w:r>
          </w:p>
        </w:tc>
        <w:tc>
          <w:tcPr>
            <w:tcW w:type="dxa" w:w="1700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RF</w:t>
            </w:r>
          </w:p>
        </w:tc>
        <w:tc>
          <w:tcPr>
            <w:tcW w:type="dxa" w:w="1300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Prioridad</w:t>
            </w:r>
          </w:p>
        </w:tc>
        <w:tc>
          <w:tcPr>
            <w:tcW w:type="dxa" w:w="3460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Estado de implementación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1. Solicitantes y Validación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RF-01, RF-07, RF-08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  <w:tc>
          <w:tcPr>
            <w:tcW w:type="dxa" w:w="34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Implementado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1. Solicitantes y Validación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RF-03, RF-04, RF-05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  <w:tc>
          <w:tcPr>
            <w:tcW w:type="dxa" w:w="34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Implementado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1. Solicitantes y Validación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RF-02, RF-06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Alta / Media</w:t>
            </w:r>
          </w:p>
        </w:tc>
        <w:tc>
          <w:tcPr>
            <w:tcW w:type="dxa" w:w="34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Pendiente (cliente RENAPER no implementado; fallback manual a confirmar)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2. Donaciones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RF-09 a RF-12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Alta / Media</w:t>
            </w:r>
          </w:p>
        </w:tc>
        <w:tc>
          <w:tcPr>
            <w:tcW w:type="dxa" w:w="34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Implementado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3. Inventario, Asignación y Trazabilidad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RF-13 a RF-16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  <w:tc>
          <w:tcPr>
            <w:tcW w:type="dxa" w:w="34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Implementado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4. Probador Virtual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RF-17 a RF-19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Media / Baja</w:t>
            </w:r>
          </w:p>
        </w:tc>
        <w:tc>
          <w:tcPr>
            <w:tcW w:type="dxa" w:w="34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Implementado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5. Turnos y Notificaciones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RF-20, RF-21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  <w:tc>
          <w:tcPr>
            <w:tcW w:type="dxa" w:w="34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Implementado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5. Turnos y Notificaciones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RF-22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Media</w:t>
            </w:r>
          </w:p>
        </w:tc>
        <w:tc>
          <w:tcPr>
            <w:tcW w:type="dxa" w:w="34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Implementado (a confirmar canal de notificación)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6. Logística e Integración 17TRACK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RF-23 a RF-25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Media</w:t>
            </w:r>
          </w:p>
        </w:tc>
        <w:tc>
          <w:tcPr>
            <w:tcW w:type="dxa" w:w="34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Implementado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7. Panel de Impacto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RF-26, RF-27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Media / Baja</w:t>
            </w:r>
          </w:p>
        </w:tc>
        <w:tc>
          <w:tcPr>
            <w:tcW w:type="dxa" w:w="34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Implementado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8. Catálogo de Venta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RF-28 a RF-30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Media</w:t>
            </w:r>
          </w:p>
        </w:tc>
        <w:tc>
          <w:tcPr>
            <w:tcW w:type="dxa" w:w="34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Implementado</w:t>
            </w:r>
          </w:p>
        </w:tc>
      </w:tr>
    </w:tbl>
    <w:p>
      <w:pPr>
        <w:spacing w:after="120"/>
      </w:pPr>
      <w:r>
        <w:rPr>
          <w:i/>
          <w:iCs/>
        </w:rPr>
        <w:t xml:space="preserve">Nota: este documento especifica el alcance completo comprometido (RF-01 a RF-30). El detalle de estado de implementación es informativo para el seguimiento del proyecto y no forma parte de la especificación en sí.</w:t>
      </w:r>
    </w:p>
    <w:p>
      <w:pPr>
        <w:pStyle w:val="Heading2"/>
        <w:spacing w:after="150" w:before="300"/>
      </w:pPr>
      <w:r>
        <w:t xml:space="preserve">Apéndice C — Matriz de roles y permisos (resumen)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300"/>
        <w:gridCol w:w="1900"/>
        <w:gridCol w:w="3360"/>
      </w:tblGrid>
      <w:tr>
        <w:trPr>
          <w:tblHeader/>
        </w:trPr>
        <w:tc>
          <w:tcPr>
            <w:tcW w:type="dxa" w:w="2800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Recurso</w:t>
            </w:r>
          </w:p>
        </w:tc>
        <w:tc>
          <w:tcPr>
            <w:tcW w:type="dxa" w:w="1300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ADMIN</w:t>
            </w:r>
          </w:p>
        </w:tc>
        <w:tc>
          <w:tcPr>
            <w:tcW w:type="dxa" w:w="1900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OPERATOR</w:t>
            </w:r>
          </w:p>
        </w:tc>
        <w:tc>
          <w:tcPr>
            <w:tcW w:type="dxa" w:w="3360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APPLICANT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Solicitantes (alta/edición/listado)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Validación de identidad y ANSES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Donantes y marcos donados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Inventario y asignación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Solo lectura de su propia asignación (/v1/me/assignments)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Turnos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Sí (gestión de todos)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Alta/consulta de los propios (/v1/me/appointments)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Envíos/logística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Indicadores de impacto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Catálogo — consulta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Público (sin autenticación)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Catálogo — alta/edición/venta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Usuarios y configuración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SRS — Banco de Anteojos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8d1211de172ca06b63a56b38ae65fcef64e641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2026-09-27T21:53:31.658Z</dcterms:created>
  <dcterms:modified xsi:type="dcterms:W3CDTF">2026-09-27T21:53:31.658Z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