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000"/>
      </w:pPr>
    </w:p>
    <w:p>
      <w:pPr>
        <w:spacing w:after="200"/>
        <w:jc w:val="center"/>
      </w:pPr>
      <w:r>
        <w:rPr>
          <w:b/>
          <w:bCs/>
          <w:sz w:val="38"/>
          <w:szCs w:val="38"/>
        </w:rPr>
        <w:t xml:space="preserve">Casos de Uso Reales</w:t>
      </w:r>
    </w:p>
    <w:p>
      <w:pPr>
        <w:spacing w:after="100"/>
        <w:jc w:val="center"/>
      </w:pPr>
      <w:r>
        <w:rPr>
          <w:sz w:val="26"/>
          <w:szCs w:val="26"/>
        </w:rPr>
        <w:t xml:space="preserve">Diseño de interfaz gráfica — Sistema Banco de Anteojos</w:t>
      </w:r>
    </w:p>
    <w:p>
      <w:pPr>
        <w:spacing w:after="800"/>
        <w:jc w:val="center"/>
      </w:pPr>
      <w:r>
        <w:rPr>
          <w:i/>
          <w:iCs/>
          <w:sz w:val="20"/>
          <w:szCs w:val="20"/>
        </w:rPr>
        <w:t xml:space="preserve">Complementa el Modelo de Casos de Uso y los Mockups · Proyecto Final UTN-FRT 2026 · ID T045</w:t>
      </w:r>
    </w:p>
    <w:p>
      <w:r>
        <w:br w:type="page"/>
      </w:r>
    </w:p>
    <w:p>
      <w:pPr>
        <w:pStyle w:val="Heading1"/>
        <w:spacing w:after="180" w:before="420"/>
      </w:pPr>
      <w: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20"/>
      </w:pPr>
      <w:r>
        <w:t xml:space="preserve">Cada caso de uso real concreta uno o más casos de uso esenciales del Modelo de Casos de Uso contra una pantalla real de los Mockups: describe la interacción paso a paso (campos, botones, mensajes) tal como aparece en el wireframe correspondiente.</w:t>
      </w:r>
    </w:p>
    <w:p>
      <w:pPr>
        <w:pStyle w:val="Heading1"/>
        <w:spacing w:after="180" w:before="420"/>
      </w:pPr>
      <w:r>
        <w:t xml:space="preserve">RU-01 — Iniciar sesión</w:t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Pantalla(s): Inicio de sesión (Figura 1)  ·  Casos de uso: RNF-01  ·  Actor(es): Todos los roles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92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92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880"/>
      </w:tblGrid>
      <w:tr>
        <w:tc>
          <w:tcPr>
            <w:tcW w:type="dxa" w:w="22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Precondición</w:t>
            </w:r>
          </w:p>
        </w:tc>
        <w:tc>
          <w:tcPr>
            <w:tcW w:type="dxa" w:w="7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usuario tiene una cuenta creada (ADMIN/OPERATOR por un administrador, o APPLICANT por autoregistro).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Disparador</w:t>
            </w:r>
          </w:p>
        </w:tc>
        <w:tc>
          <w:tcPr>
            <w:tcW w:type="dxa" w:w="7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usuario abre la aplicación sin sesión activa.</w:t>
            </w:r>
          </w:p>
        </w:tc>
      </w:tr>
    </w:tbl>
    <w:p>
      <w:pPr>
        <w:spacing w:after="100"/>
      </w:pP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Flujo principal</w:t>
      </w:r>
    </w:p>
    <w:p>
      <w:pPr>
        <w:spacing w:after="70"/>
      </w:pPr>
      <w:r>
        <w:t xml:space="preserve">1. El usuario completa el campo Email y el campo Contraseña.</w:t>
      </w:r>
    </w:p>
    <w:p>
      <w:pPr>
        <w:spacing w:after="70"/>
      </w:pPr>
      <w:r>
        <w:t xml:space="preserve">2. Hace clic en Ingresar.</w:t>
      </w:r>
    </w:p>
    <w:p>
      <w:pPr>
        <w:spacing w:after="70"/>
      </w:pPr>
      <w:r>
        <w:t xml:space="preserve">3. El sistema valida las credenciales y redirige a la pantalla de inicio correspondiente a su rol (panel del Operador/Administrador, o portal de autogestión del Beneficiario).</w:t>
      </w: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Flujos alternativos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Credenciales inválidas: el sistema muestra el mensaje de error devuelto por la API sin redirigir, sin indicar si falló el email o la contraseña.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Beneficiario sin cuenta: hace clic en el enlace "¿Sos beneficiario? Registrate para pedir tu turno" y accede al formulario de registro (RF-20, autogestión).</w:t>
      </w: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Postcondición</w:t>
      </w:r>
    </w:p>
    <w:p>
      <w:pPr>
        <w:spacing w:after="120"/>
      </w:pPr>
      <w:r>
        <w:t xml:space="preserve">Sesión iniciada, JWT almacenado en el cliente para las siguientes requests.</w:t>
      </w: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Elementos de interfaz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5680"/>
      </w:tblGrid>
      <w:tr>
        <w:trPr>
          <w:tblHeader/>
        </w:trPr>
        <w:tc>
          <w:tcPr>
            <w:tcW w:type="dxa" w:w="26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Control</w:t>
            </w:r>
          </w:p>
        </w:tc>
        <w:tc>
          <w:tcPr>
            <w:tcW w:type="dxa" w:w="18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568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Notas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Email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input texto</w:t>
            </w:r>
          </w:p>
        </w:tc>
        <w:tc>
          <w:tcPr>
            <w:tcW w:type="dxa" w:w="5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obligatorio, formato email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Contraseña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input password</w:t>
            </w:r>
          </w:p>
        </w:tc>
        <w:tc>
          <w:tcPr>
            <w:tcW w:type="dxa" w:w="5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obligatorio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Ingresar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botón primario</w:t>
            </w:r>
          </w:p>
        </w:tc>
        <w:tc>
          <w:tcPr>
            <w:tcW w:type="dxa" w:w="5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dispara POST /v1/auth/login</w:t>
            </w:r>
          </w:p>
        </w:tc>
      </w:tr>
    </w:tbl>
    <w:p>
      <w:pPr>
        <w:spacing w:after="200"/>
      </w:pPr>
    </w:p>
    <w:p>
      <w:pPr>
        <w:pStyle w:val="Heading1"/>
        <w:spacing w:after="180" w:before="420"/>
      </w:pPr>
      <w:r>
        <w:t xml:space="preserve">RU-02 — Gestionar solicitantes (listar y buscar)</w:t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Pantalla(s): Solicitantes — Listado (Figura 3)  ·  Casos de uso: UC-08  ·  Actor(es): Operador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924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924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880"/>
      </w:tblGrid>
      <w:tr>
        <w:tc>
          <w:tcPr>
            <w:tcW w:type="dxa" w:w="22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Precondición</w:t>
            </w:r>
          </w:p>
        </w:tc>
        <w:tc>
          <w:tcPr>
            <w:tcW w:type="dxa" w:w="7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operador inició sesión.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Disparador</w:t>
            </w:r>
          </w:p>
        </w:tc>
        <w:tc>
          <w:tcPr>
            <w:tcW w:type="dxa" w:w="7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operador entra a "Solicitantes" desde el menú lateral.</w:t>
            </w:r>
          </w:p>
        </w:tc>
      </w:tr>
    </w:tbl>
    <w:p>
      <w:pPr>
        <w:spacing w:after="100"/>
      </w:pP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Flujo principal</w:t>
      </w:r>
    </w:p>
    <w:p>
      <w:pPr>
        <w:spacing w:after="70"/>
      </w:pPr>
      <w:r>
        <w:t xml:space="preserve">1. El sistema muestra la tabla de solicitantes: Nombre, DNI, estado de Identidad (badge), estado de ANSES (badge), fecha de la última receta.</w:t>
      </w:r>
    </w:p>
    <w:p>
      <w:pPr>
        <w:spacing w:after="70"/>
      </w:pPr>
      <w:r>
        <w:t xml:space="preserve">2. El operador escribe en "Buscar por DNI o nombre…" para filtrar, o elige un estado en el selector "Todos los estados".</w:t>
      </w:r>
    </w:p>
    <w:p>
      <w:pPr>
        <w:spacing w:after="70"/>
      </w:pPr>
      <w:r>
        <w:t xml:space="preserve">3. El operador hace clic en Ver sobre una fila para ir al detalle (RU-03).</w:t>
      </w:r>
    </w:p>
    <w:p>
      <w:pPr>
        <w:spacing w:after="70"/>
      </w:pPr>
      <w:r>
        <w:t xml:space="preserve">4. El operador hace clic en "+ Nuevo solicitante" para dar de alta uno nuevo (abre el formulario de datos personales de RU-03, vacío).</w:t>
      </w: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Flujos alternativos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Sin resultados: la tabla muestra un estado vacío con el texto de búsqueda aplicado.</w:t>
      </w: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Postcondición</w:t>
      </w:r>
    </w:p>
    <w:p>
      <w:pPr>
        <w:spacing w:after="120"/>
      </w:pPr>
      <w:r>
        <w:t xml:space="preserve">El operador visualiza o navega al solicitante elegido.</w:t>
      </w: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Elementos de interfaz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5680"/>
      </w:tblGrid>
      <w:tr>
        <w:trPr>
          <w:tblHeader/>
        </w:trPr>
        <w:tc>
          <w:tcPr>
            <w:tcW w:type="dxa" w:w="26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Control</w:t>
            </w:r>
          </w:p>
        </w:tc>
        <w:tc>
          <w:tcPr>
            <w:tcW w:type="dxa" w:w="18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568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Notas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Buscar por DNI o nombre…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input texto</w:t>
            </w:r>
          </w:p>
        </w:tc>
        <w:tc>
          <w:tcPr>
            <w:tcW w:type="dxa" w:w="5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filtra la tabla en vivo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Todos los estados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select</w:t>
            </w:r>
          </w:p>
        </w:tc>
        <w:tc>
          <w:tcPr>
            <w:tcW w:type="dxa" w:w="5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filtra por estado de identidad/ANSES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+ Nuevo solicitante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botón primario</w:t>
            </w:r>
          </w:p>
        </w:tc>
        <w:tc>
          <w:tcPr>
            <w:tcW w:type="dxa" w:w="5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navega al alta (RU-03)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Badge de Identidad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badge</w:t>
            </w:r>
          </w:p>
        </w:tc>
        <w:tc>
          <w:tcPr>
            <w:tcW w:type="dxa" w:w="5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verde=Validada, azul=Manual (presencial), rojo=Pendiente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Badge de ANSES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badge</w:t>
            </w:r>
          </w:p>
        </w:tc>
        <w:tc>
          <w:tcPr>
            <w:tcW w:type="dxa" w:w="5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verde=Vigente, amarillo=Vencido, rojo=Sin cargar</w:t>
            </w:r>
          </w:p>
        </w:tc>
      </w:tr>
    </w:tbl>
    <w:p>
      <w:pPr>
        <w:spacing w:after="200"/>
      </w:pPr>
    </w:p>
    <w:p>
      <w:pPr>
        <w:pStyle w:val="Heading1"/>
        <w:spacing w:after="180" w:before="420"/>
      </w:pPr>
      <w:r>
        <w:t xml:space="preserve">RU-03 — Alta, edición y validación del solicitante</w:t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Pantalla(s): Solicitantes — Detalle (Figura 4)  ·  Casos de uso: UC-01, UC-02, UC-06, UC-03, UC-04, UC-05, UC-07  ·  Actor(es): Operador (+ RENAPER)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933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93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880"/>
      </w:tblGrid>
      <w:tr>
        <w:tc>
          <w:tcPr>
            <w:tcW w:type="dxa" w:w="22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Precondición</w:t>
            </w:r>
          </w:p>
        </w:tc>
        <w:tc>
          <w:tcPr>
            <w:tcW w:type="dxa" w:w="7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Solicitante nuevo (RU-02, "+ Nuevo solicitante") o existente (RU-02, "Ver").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Disparador</w:t>
            </w:r>
          </w:p>
        </w:tc>
        <w:tc>
          <w:tcPr>
            <w:tcW w:type="dxa" w:w="7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operador necesita registrar o completar los datos de elegibilidad de un beneficiario.</w:t>
            </w:r>
          </w:p>
        </w:tc>
      </w:tr>
    </w:tbl>
    <w:p>
      <w:pPr>
        <w:spacing w:after="100"/>
      </w:pP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Flujo principal (alta y datos personales — UC-01, UC-08)</w:t>
      </w:r>
    </w:p>
    <w:p>
      <w:pPr>
        <w:spacing w:after="70"/>
      </w:pPr>
      <w:r>
        <w:t xml:space="preserve">1. El operador completa Nombre, Apellido, DNI, Fecha de nacimiento, Teléfono en la tarjeta "Datos personales".</w:t>
      </w:r>
    </w:p>
    <w:p>
      <w:pPr>
        <w:spacing w:after="70"/>
      </w:pPr>
      <w:r>
        <w:t xml:space="preserve">2. Hace clic en Guardar cambios. El campo DNI queda deshabilitado para ediciones futuras (es la identidad contra la que se valida RENAPER).</w:t>
      </w: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Flujo — Validación de identidad (UC-02, UC-06)</w:t>
      </w:r>
    </w:p>
    <w:p>
      <w:pPr>
        <w:spacing w:after="70"/>
      </w:pPr>
      <w:r>
        <w:t xml:space="preserve">1. En la tarjeta "Validación de identidad", el operador hace clic en Reintentar validación RENAPER. El sistema consulta el SID y actualiza el badge de estado ("Validada por RENAPER").</w:t>
      </w:r>
    </w:p>
    <w:p>
      <w:pPr>
        <w:spacing w:after="70"/>
      </w:pPr>
      <w:r>
        <w:t xml:space="preserve">2. Alternativo (RENAPER no disponible, UC-06): el operador hace clic en Validar presencialmente (DNI físico), confirma que verificó el documento en persona; el badge pasa a "Manual (presencial)".</w:t>
      </w: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Flujo — Certificación ANSES (UC-03, UC-04, UC-05)</w:t>
      </w:r>
    </w:p>
    <w:p>
      <w:pPr>
        <w:spacing w:after="70"/>
      </w:pPr>
      <w:r>
        <w:t xml:space="preserve">1. En la tarjeta "Certificación Negativa de ANSES", el operador hace clic en Reemplazar PDF (o, si es la primera carga, el botón equivalente de subida) y selecciona el archivo.</w:t>
      </w:r>
    </w:p>
    <w:p>
      <w:pPr>
        <w:spacing w:after="70"/>
      </w:pPr>
      <w:r>
        <w:t xml:space="preserve">2. El sistema decodifica el código de barras y muestra el CUIL detectado con el badge "coincide"/"no coincide" (UC-04), y la fecha de emisión con el badge "vigente (≤30 días)" / "vencido" (UC-05). Ninguno de los dos bloquea el guardado: quedan a criterio del operador.</w:t>
      </w: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Flujo — Receta médica (UC-07)</w:t>
      </w:r>
    </w:p>
    <w:p>
      <w:pPr>
        <w:spacing w:after="70"/>
      </w:pPr>
      <w:r>
        <w:t xml:space="preserve">1. En la tarjeta "Receta médica", el operador hace clic en + Nueva receta y carga los valores de Esfera, Cilindro y Eje para OD y OI (y opcionalmente el archivo de la receta).</w:t>
      </w:r>
    </w:p>
    <w:p>
      <w:pPr>
        <w:spacing w:after="70"/>
      </w:pPr>
      <w:r>
        <w:t xml:space="preserve">2. La tabla de recetas se actualiza con la nueva fila.</w:t>
      </w: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Flujos alternativos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DNI duplicado al guardar datos personales: el sistema rechaza el alta con mensaje de error.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PDF de ANSES no legible / código de barras no encontrado: el sistema informa el error y no completa el CUIL/fecha detectados; el operador puede reintentar la carga.</w:t>
      </w: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Postcondición</w:t>
      </w:r>
    </w:p>
    <w:p>
      <w:pPr>
        <w:spacing w:after="120"/>
      </w:pPr>
      <w:r>
        <w:t xml:space="preserve">El solicitante queda con sus datos, estado de validación y receta actualizados, disponible para el match de asignación (RU-06).</w:t>
      </w: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Elementos de interfaz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5680"/>
      </w:tblGrid>
      <w:tr>
        <w:trPr>
          <w:tblHeader/>
        </w:trPr>
        <w:tc>
          <w:tcPr>
            <w:tcW w:type="dxa" w:w="26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Control</w:t>
            </w:r>
          </w:p>
        </w:tc>
        <w:tc>
          <w:tcPr>
            <w:tcW w:type="dxa" w:w="18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568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Notas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DNI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input texto</w:t>
            </w:r>
          </w:p>
        </w:tc>
        <w:tc>
          <w:tcPr>
            <w:tcW w:type="dxa" w:w="5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editable solo en el alta; de sólo lectura después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Reintentar validación RENAPER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botón</w:t>
            </w:r>
          </w:p>
        </w:tc>
        <w:tc>
          <w:tcPr>
            <w:tcW w:type="dxa" w:w="5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dispara la consulta al SID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Validar presencialmente (DNI físico)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botón secundario</w:t>
            </w:r>
          </w:p>
        </w:tc>
        <w:tc>
          <w:tcPr>
            <w:tcW w:type="dxa" w:w="5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registra validación manual (UC-06)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Reemplazar PDF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botón secundario</w:t>
            </w:r>
          </w:p>
        </w:tc>
        <w:tc>
          <w:tcPr>
            <w:tcW w:type="dxa" w:w="5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sube el certificado ANSES a R2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+ Nueva receta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botón secundario</w:t>
            </w:r>
          </w:p>
        </w:tc>
        <w:tc>
          <w:tcPr>
            <w:tcW w:type="dxa" w:w="5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abre el alta de una nueva graduación</w:t>
            </w:r>
          </w:p>
        </w:tc>
      </w:tr>
    </w:tbl>
    <w:p>
      <w:pPr>
        <w:spacing w:after="200"/>
      </w:pPr>
    </w:p>
    <w:p>
      <w:pPr>
        <w:pStyle w:val="Heading1"/>
        <w:spacing w:after="180" w:before="420"/>
      </w:pPr>
      <w:r>
        <w:t xml:space="preserve">RU-04 — Registrar donante y recepción de marcos</w:t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Pantalla(s): Donantes — Listado y Registrar recepción (Figuras 5 y 6)  ·  Casos de uso: UC-09, UC-10, UC-11, UC-12  ·  Actor(es): Operador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933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93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933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93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880"/>
      </w:tblGrid>
      <w:tr>
        <w:tc>
          <w:tcPr>
            <w:tcW w:type="dxa" w:w="22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Precondición</w:t>
            </w:r>
          </w:p>
        </w:tc>
        <w:tc>
          <w:tcPr>
            <w:tcW w:type="dxa" w:w="7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operador inició sesión.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Disparador</w:t>
            </w:r>
          </w:p>
        </w:tc>
        <w:tc>
          <w:tcPr>
            <w:tcW w:type="dxa" w:w="7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Ingresa una donación física a la fundación.</w:t>
            </w:r>
          </w:p>
        </w:tc>
      </w:tr>
    </w:tbl>
    <w:p>
      <w:pPr>
        <w:spacing w:after="100"/>
      </w:pP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Flujo principal</w:t>
      </w:r>
    </w:p>
    <w:p>
      <w:pPr>
        <w:spacing w:after="70"/>
      </w:pPr>
      <w:r>
        <w:t xml:space="preserve">1. Desde "Donantes", el operador busca con "Buscar donante…" o hace clic en "+ Nuevo donante" (UC-09) para cargar Nombre / Entidad y Teléfono de contacto.</w:t>
      </w:r>
    </w:p>
    <w:p>
      <w:pPr>
        <w:spacing w:after="70"/>
      </w:pPr>
      <w:r>
        <w:t xml:space="preserve">2. Entra al donante y abre "Nueva recepción" (UC-10).</w:t>
      </w:r>
    </w:p>
    <w:p>
      <w:pPr>
        <w:spacing w:after="70"/>
      </w:pPr>
      <w:r>
        <w:t xml:space="preserve">3. Por cada marco recibido, hace clic en + Agregar marco y completa Precinto, Tipo, Material y Medidas (UC-11) — el precinto es el identificador único que no se repite.</w:t>
      </w:r>
    </w:p>
    <w:p>
      <w:pPr>
        <w:spacing w:after="70"/>
      </w:pPr>
      <w:r>
        <w:t xml:space="preserve">4. Hace clic en Confirmar recepción. El sistema crea cada marco en estado AVAILABLE.</w:t>
      </w: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Flujos alternativos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Precinto duplicado: el sistema rechaza la fila con ese precinto y pide corregirlo antes de confirmar.</w:t>
      </w: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Postcondición</w:t>
      </w:r>
    </w:p>
    <w:p>
      <w:pPr>
        <w:spacing w:after="120"/>
      </w:pPr>
      <w:r>
        <w:t xml:space="preserve">Los marcos quedan disponibles en el inventario (RU-05), vinculados al donante.</w:t>
      </w: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Elementos de interfaz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5680"/>
      </w:tblGrid>
      <w:tr>
        <w:trPr>
          <w:tblHeader/>
        </w:trPr>
        <w:tc>
          <w:tcPr>
            <w:tcW w:type="dxa" w:w="26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Control</w:t>
            </w:r>
          </w:p>
        </w:tc>
        <w:tc>
          <w:tcPr>
            <w:tcW w:type="dxa" w:w="180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Tipo</w:t>
            </w:r>
          </w:p>
        </w:tc>
        <w:tc>
          <w:tcPr>
            <w:tcW w:type="dxa" w:w="5680"/>
            <w:shd w:fill="D9D9D9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Notas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+ Agregar marco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botón secundario</w:t>
            </w:r>
          </w:p>
        </w:tc>
        <w:tc>
          <w:tcPr>
            <w:tcW w:type="dxa" w:w="5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agrega una fila editable a la tabla de marcos recibidos</w:t>
            </w:r>
          </w:p>
        </w:tc>
      </w:tr>
      <w:tr>
        <w:tc>
          <w:tcPr>
            <w:tcW w:type="dxa" w:w="2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Confirmar recepción</w:t>
            </w:r>
          </w:p>
        </w:tc>
        <w:tc>
          <w:tcPr>
            <w:tcW w:type="dxa" w:w="18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botón primario</w:t>
            </w:r>
          </w:p>
        </w:tc>
        <w:tc>
          <w:tcPr>
            <w:tcW w:type="dxa" w:w="56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crea los Frame en lote</w:t>
            </w:r>
          </w:p>
        </w:tc>
      </w:tr>
    </w:tbl>
    <w:p>
      <w:pPr>
        <w:spacing w:after="200"/>
      </w:pPr>
    </w:p>
    <w:p>
      <w:pPr>
        <w:pStyle w:val="Heading1"/>
        <w:spacing w:after="180" w:before="420"/>
      </w:pPr>
      <w:r>
        <w:t xml:space="preserve">RU-05 — Consultar inventario de marcos</w:t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Pantalla(s): Inventario de marcos (Figura 7)  ·  Casos de uso: UC-13  ·  Actor(es): Operador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933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93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880"/>
      </w:tblGrid>
      <w:tr>
        <w:tc>
          <w:tcPr>
            <w:tcW w:type="dxa" w:w="22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Precondición</w:t>
            </w:r>
          </w:p>
        </w:tc>
        <w:tc>
          <w:tcPr>
            <w:tcW w:type="dxa" w:w="7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Existen marcos cargados (RU-04) o a mano.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Disparador</w:t>
            </w:r>
          </w:p>
        </w:tc>
        <w:tc>
          <w:tcPr>
            <w:tcW w:type="dxa" w:w="7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operador necesita ver qué marcos hay disponibles.</w:t>
            </w:r>
          </w:p>
        </w:tc>
      </w:tr>
    </w:tbl>
    <w:p>
      <w:pPr>
        <w:spacing w:after="100"/>
      </w:pP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Flujo principal</w:t>
      </w:r>
    </w:p>
    <w:p>
      <w:pPr>
        <w:spacing w:after="70"/>
      </w:pPr>
      <w:r>
        <w:t xml:space="preserve">1. El sistema lista los marcos con Precinto, Tipo, Material, Medidas y Estado (badge: Disponible/Asignado/En óptica/Descartado).</w:t>
      </w:r>
    </w:p>
    <w:p>
      <w:pPr>
        <w:spacing w:after="70"/>
      </w:pPr>
      <w:r>
        <w:t xml:space="preserve">2. El operador filtra con "Buscar por precinto…" o el selector de estado.</w:t>
      </w:r>
    </w:p>
    <w:p>
      <w:pPr>
        <w:spacing w:after="70"/>
      </w:pPr>
      <w:r>
        <w:t xml:space="preserve">3. Hace clic en Ver para el detalle de un marco, o en "+ Cargar marco a mano" para dar de alta uno sin pasar por una recepción de donación.</w:t>
      </w: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Postcondición</w:t>
      </w:r>
    </w:p>
    <w:p>
      <w:pPr>
        <w:spacing w:after="120"/>
      </w:pPr>
      <w:r>
        <w:t xml:space="preserve">El operador ubica el marco que necesita para una asignación (RU-06).</w:t>
      </w:r>
    </w:p>
    <w:p>
      <w:pPr>
        <w:spacing w:after="200"/>
      </w:pPr>
    </w:p>
    <w:p>
      <w:pPr>
        <w:pStyle w:val="Heading1"/>
        <w:spacing w:after="180" w:before="420"/>
      </w:pPr>
      <w:r>
        <w:t xml:space="preserve">RU-06 — Asignar marco a beneficiario</w:t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Pantalla(s): Asignación — Match y asignar marco (Figura 8)  ·  Casos de uso: UC-14, UC-15  ·  Actor(es): Operador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933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93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880"/>
      </w:tblGrid>
      <w:tr>
        <w:tc>
          <w:tcPr>
            <w:tcW w:type="dxa" w:w="22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Precondición</w:t>
            </w:r>
          </w:p>
        </w:tc>
        <w:tc>
          <w:tcPr>
            <w:tcW w:type="dxa" w:w="7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solicitante tiene identidad validada, ANSES cargado y receta registrada (RU-03).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Disparador</w:t>
            </w:r>
          </w:p>
        </w:tc>
        <w:tc>
          <w:tcPr>
            <w:tcW w:type="dxa" w:w="7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operador decide asignar un marco al beneficiario.</w:t>
            </w:r>
          </w:p>
        </w:tc>
      </w:tr>
    </w:tbl>
    <w:p>
      <w:pPr>
        <w:spacing w:after="100"/>
      </w:pP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Flujo principal</w:t>
      </w:r>
    </w:p>
    <w:p>
      <w:pPr>
        <w:spacing w:after="70"/>
      </w:pPr>
      <w:r>
        <w:t xml:space="preserve">1. El sistema muestra la receta del beneficiario (Esfera/Cilindro/Eje por ojo).</w:t>
      </w:r>
    </w:p>
    <w:p>
      <w:pPr>
        <w:spacing w:after="70"/>
      </w:pPr>
      <w:r>
        <w:t xml:space="preserve">2. El sistema ejecuta el match (UC-14) y lista los marcos candidatos ordenados por compatibilidad (badge Alta/Media).</w:t>
      </w:r>
    </w:p>
    <w:p>
      <w:pPr>
        <w:spacing w:after="70"/>
      </w:pPr>
      <w:r>
        <w:t xml:space="preserve">3. El operador hace clic en Asignar sobre el marco elegido.</w:t>
      </w:r>
    </w:p>
    <w:p>
      <w:pPr>
        <w:spacing w:after="70"/>
      </w:pPr>
      <w:r>
        <w:t xml:space="preserve">4. El sistema crea la asignación y descuenta el marco del inventario disponible (queda ASSIGNED).</w:t>
      </w: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Flujos alternativos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Sin marcos compatibles: la lista aparece vacía; el operador puede volver más adelante cuando ingrese una donación compatible.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El marco elegido dejó de estar disponible (otro operador lo asignó primero): el sistema rechaza la asignación con un mensaje y refresca la lista.</w:t>
      </w: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Postcondición</w:t>
      </w:r>
    </w:p>
    <w:p>
      <w:pPr>
        <w:spacing w:after="120"/>
      </w:pPr>
      <w:r>
        <w:t xml:space="preserve">Asignación creada, visible en la trazabilidad (RU-07).</w:t>
      </w:r>
    </w:p>
    <w:p>
      <w:pPr>
        <w:spacing w:after="200"/>
      </w:pPr>
    </w:p>
    <w:p>
      <w:pPr>
        <w:pStyle w:val="Heading1"/>
        <w:spacing w:after="180" w:before="420"/>
      </w:pPr>
      <w:r>
        <w:t xml:space="preserve">RU-07 — Consultar trazabilidad de la asignación</w:t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Pantalla(s): Trazabilidad de la asignación (Figura 9)  ·  Casos de uso: UC-16  ·  Actor(es): Operador, Beneficiario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933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93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880"/>
      </w:tblGrid>
      <w:tr>
        <w:tc>
          <w:tcPr>
            <w:tcW w:type="dxa" w:w="22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Precondición</w:t>
            </w:r>
          </w:p>
        </w:tc>
        <w:tc>
          <w:tcPr>
            <w:tcW w:type="dxa" w:w="7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Existe una asignación (RU-06).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Disparador</w:t>
            </w:r>
          </w:p>
        </w:tc>
        <w:tc>
          <w:tcPr>
            <w:tcW w:type="dxa" w:w="7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 necesita conocer en qué etapa está un par de anteojos.</w:t>
            </w:r>
          </w:p>
        </w:tc>
      </w:tr>
    </w:tbl>
    <w:p>
      <w:pPr>
        <w:spacing w:after="100"/>
      </w:pP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Flujo principal</w:t>
      </w:r>
    </w:p>
    <w:p>
      <w:pPr>
        <w:spacing w:after="70"/>
      </w:pPr>
      <w:r>
        <w:t xml:space="preserve">1. El sistema muestra la línea de tiempo del evento: asignado → enviado a óptica → retornado con cristales → entregado, cada uno con fecha y responsable.</w:t>
      </w:r>
    </w:p>
    <w:p>
      <w:pPr>
        <w:spacing w:after="70"/>
      </w:pPr>
      <w:r>
        <w:t xml:space="preserve">2. Muestra el estado actual como badge (p. ej. "Entregado").</w:t>
      </w: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Postcondición</w:t>
      </w:r>
    </w:p>
    <w:p>
      <w:pPr>
        <w:spacing w:after="120"/>
      </w:pPr>
      <w:r>
        <w:t xml:space="preserve">Ninguna (consulta de solo lectura).</w:t>
      </w:r>
    </w:p>
    <w:p>
      <w:pPr>
        <w:spacing w:after="200"/>
      </w:pPr>
    </w:p>
    <w:p>
      <w:pPr>
        <w:pStyle w:val="Heading1"/>
        <w:spacing w:after="180" w:before="420"/>
      </w:pPr>
      <w:r>
        <w:t xml:space="preserve">RU-08 — Usar el probador virtual</w:t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Pantalla(s): Probador virtual (Figura 10)  ·  Casos de uso: UC-17, UC-18, UC-19  ·  Actor(es): Beneficiario, Operador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933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93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880"/>
      </w:tblGrid>
      <w:tr>
        <w:tc>
          <w:tcPr>
            <w:tcW w:type="dxa" w:w="22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Precondición</w:t>
            </w:r>
          </w:p>
        </w:tc>
        <w:tc>
          <w:tcPr>
            <w:tcW w:type="dxa" w:w="7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navegador tiene acceso a cámara o a una foto ya tomada.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Disparador</w:t>
            </w:r>
          </w:p>
        </w:tc>
        <w:tc>
          <w:tcPr>
            <w:tcW w:type="dxa" w:w="7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beneficiario o el operador quiere previsualizar cómo le quedan los marcos.</w:t>
            </w:r>
          </w:p>
        </w:tc>
      </w:tr>
    </w:tbl>
    <w:p>
      <w:pPr>
        <w:spacing w:after="100"/>
      </w:pP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Flujo principal</w:t>
      </w:r>
    </w:p>
    <w:p>
      <w:pPr>
        <w:spacing w:after="70"/>
      </w:pPr>
      <w:r>
        <w:t xml:space="preserve">1. El usuario hace clic en Tomar / subir foto.</w:t>
      </w:r>
    </w:p>
    <w:p>
      <w:pPr>
        <w:spacing w:after="70"/>
      </w:pPr>
      <w:r>
        <w:t xml:space="preserve">2. MediaPipe Face Mesh detecta el rostro sobre la foto estática (UC-17).</w:t>
      </w:r>
    </w:p>
    <w:p>
      <w:pPr>
        <w:spacing w:after="70"/>
      </w:pPr>
      <w:r>
        <w:t xml:space="preserve">3. El usuario elige un marco de la grilla "Marcos disponibles para probar" (UC-19).</w:t>
      </w:r>
    </w:p>
    <w:p>
      <w:pPr>
        <w:spacing w:after="70"/>
      </w:pPr>
      <w:r>
        <w:t xml:space="preserve">4. El sistema superpone el marco en 2D sobre la foto (UC-18) y habilita el ajuste manual de Rotación y Altura.</w:t>
      </w: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Flujos alternativos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MediaPipe no disponible (dispositivo o red): el sistema muestra un estado degradado ("probador virtual no disponible en este momento") sin romper el resto de la aplicación.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No se detecta rostro en la foto: el sistema pide subir otra foto.</w:t>
      </w: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Postcondición</w:t>
      </w:r>
    </w:p>
    <w:p>
      <w:pPr>
        <w:spacing w:after="120"/>
      </w:pPr>
      <w:r>
        <w:t xml:space="preserve">Ninguna (previsualización, no persiste datos).</w:t>
      </w:r>
    </w:p>
    <w:p>
      <w:pPr>
        <w:spacing w:after="200"/>
      </w:pPr>
    </w:p>
    <w:p>
      <w:pPr>
        <w:pStyle w:val="Heading1"/>
        <w:spacing w:after="180" w:before="420"/>
      </w:pPr>
      <w:r>
        <w:t xml:space="preserve">RU-09 — Gestionar turnos (agenda del staff)</w:t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Pantalla(s): Turnos — Agenda del staff (Figura 11)  ·  Casos de uso: UC-20, UC-21, UC-22  ·  Actor(es): Operador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933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93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880"/>
      </w:tblGrid>
      <w:tr>
        <w:tc>
          <w:tcPr>
            <w:tcW w:type="dxa" w:w="22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Precondición</w:t>
            </w:r>
          </w:p>
        </w:tc>
        <w:tc>
          <w:tcPr>
            <w:tcW w:type="dxa" w:w="7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solicitante existe.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Disparador</w:t>
            </w:r>
          </w:p>
        </w:tc>
        <w:tc>
          <w:tcPr>
            <w:tcW w:type="dxa" w:w="7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operador registra o gestiona un turno presencialmente.</w:t>
            </w:r>
          </w:p>
        </w:tc>
      </w:tr>
    </w:tbl>
    <w:p>
      <w:pPr>
        <w:spacing w:after="100"/>
      </w:pP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Flujo principal</w:t>
      </w:r>
    </w:p>
    <w:p>
      <w:pPr>
        <w:spacing w:after="70"/>
      </w:pPr>
      <w:r>
        <w:t xml:space="preserve">1. El operador busca con "Buscar por beneficiario…" o hace clic en "+ Registrar turno".</w:t>
      </w:r>
    </w:p>
    <w:p>
      <w:pPr>
        <w:spacing w:after="70"/>
      </w:pPr>
      <w:r>
        <w:t xml:space="preserve">2. Para un turno existente, hace clic en Reprogramar (elige nueva fecha/hora, el turno sigue SCHEDULED) o Cancelar (pide motivo, pasa a CANCELLED).</w:t>
      </w:r>
    </w:p>
    <w:p>
      <w:pPr>
        <w:spacing w:after="70"/>
      </w:pPr>
      <w:r>
        <w:t xml:space="preserve">3. Si el turno está "Pendiente de pago" (autogestión), el operador hace clic en Ver comprobante para revisarlo antes de confirmarlo manualmente si corresponde.</w:t>
      </w: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Postcondición</w:t>
      </w:r>
    </w:p>
    <w:p>
      <w:pPr>
        <w:spacing w:after="120"/>
      </w:pPr>
      <w:r>
        <w:t xml:space="preserve">El turno queda actualizado; los cambios de estado disparan la notificación correspondiente (UC-22).</w:t>
      </w:r>
    </w:p>
    <w:p>
      <w:pPr>
        <w:spacing w:after="200"/>
      </w:pPr>
    </w:p>
    <w:p>
      <w:pPr>
        <w:pStyle w:val="Heading1"/>
        <w:spacing w:after="180" w:before="420"/>
      </w:pPr>
      <w:r>
        <w:t xml:space="preserve">RU-10 — Autogestión del beneficiario: pedir turno y pagar el bono contribución</w:t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Pantalla(s): Autogestión — Mis turnos (Figura 12)  ·  Casos de uso: UC-20, UC-20b, UC-21  ·  Actor(es): Beneficiario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2099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880"/>
      </w:tblGrid>
      <w:tr>
        <w:tc>
          <w:tcPr>
            <w:tcW w:type="dxa" w:w="22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Precondición</w:t>
            </w:r>
          </w:p>
        </w:tc>
        <w:tc>
          <w:tcPr>
            <w:tcW w:type="dxa" w:w="7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beneficiario tiene una cuenta (rol APPLICANT) y sesión iniciada.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Disparador</w:t>
            </w:r>
          </w:p>
        </w:tc>
        <w:tc>
          <w:tcPr>
            <w:tcW w:type="dxa" w:w="7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beneficiario quiere sacar un turno sin ir presencialmente.</w:t>
            </w:r>
          </w:p>
        </w:tc>
      </w:tr>
    </w:tbl>
    <w:p>
      <w:pPr>
        <w:spacing w:after="100"/>
      </w:pP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Flujo principal</w:t>
      </w:r>
    </w:p>
    <w:p>
      <w:pPr>
        <w:spacing w:after="70"/>
      </w:pPr>
      <w:r>
        <w:t xml:space="preserve">1. El beneficiario elige una fecha disponible (paso 1 del stepper "Elegir fecha"). El turno se crea en estado PENDIENTE DE PAGO.</w:t>
      </w:r>
    </w:p>
    <w:p>
      <w:pPr>
        <w:spacing w:after="70"/>
      </w:pPr>
      <w:r>
        <w:t xml:space="preserve">2. El sistema muestra los datos de la cuenta para transferir el bono contribución (paso 2, "Confirmar con bono contribución").</w:t>
      </w:r>
    </w:p>
    <w:p>
      <w:pPr>
        <w:spacing w:after="70"/>
      </w:pPr>
      <w:r>
        <w:t xml:space="preserve">3. El beneficiario hace clic en el recuadro de Comprobante de transferencia, sube el archivo y hace clic en Subir comprobante.</w:t>
      </w:r>
    </w:p>
    <w:p>
      <w:pPr>
        <w:spacing w:after="70"/>
      </w:pPr>
      <w:r>
        <w:t xml:space="preserve">4. El turno pasa a SCHEDULED (paso 3, "Turno confirmado") y dispara la notificación de confirmación (UC-22).</w:t>
      </w: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Flujos alternativos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El beneficiario no sube comprobante: el turno permanece "Pendiente de pago" indefinidamente (no bloquea el resto de la app, pero no se confirma ni notifica).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El beneficiario puede ver su Historial de turnos pasados (asistidos/cancelados) más abajo en la misma pantalla.</w:t>
      </w: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Postcondición</w:t>
      </w:r>
    </w:p>
    <w:p>
      <w:pPr>
        <w:spacing w:after="120"/>
      </w:pPr>
      <w:r>
        <w:t xml:space="preserve">Turno confirmado y visible en la agenda del staff (RU-09) para revisión posterior del comprobante por un operador.</w:t>
      </w:r>
    </w:p>
    <w:p>
      <w:pPr>
        <w:spacing w:after="200"/>
      </w:pPr>
    </w:p>
    <w:p>
      <w:pPr>
        <w:pStyle w:val="Heading1"/>
        <w:spacing w:after="180" w:before="420"/>
      </w:pPr>
      <w:r>
        <w:t xml:space="preserve">RU-11 — Gestionar envíos entre sucursales</w:t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Pantalla(s): Logística — Envíos (Figura 13)  ·  Casos de uso: UC-23, UC-24, UC-25  ·  Actor(es): Operador (+ 17TRACK)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2099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880"/>
      </w:tblGrid>
      <w:tr>
        <w:tc>
          <w:tcPr>
            <w:tcW w:type="dxa" w:w="22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Precondición</w:t>
            </w:r>
          </w:p>
        </w:tc>
        <w:tc>
          <w:tcPr>
            <w:tcW w:type="dxa" w:w="7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Hay marcos/lotes que trasladar entre sucursales.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Disparador</w:t>
            </w:r>
          </w:p>
        </w:tc>
        <w:tc>
          <w:tcPr>
            <w:tcW w:type="dxa" w:w="7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 operador necesita despachar un envío o revisar su estado.</w:t>
            </w:r>
          </w:p>
        </w:tc>
      </w:tr>
    </w:tbl>
    <w:p>
      <w:pPr>
        <w:spacing w:after="100"/>
      </w:pP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Flujo principal</w:t>
      </w:r>
    </w:p>
    <w:p>
      <w:pPr>
        <w:spacing w:after="70"/>
      </w:pPr>
      <w:r>
        <w:t xml:space="preserve">1. El operador hace clic en + Registrar envío, elige origen/destino y los marcos a enviar (UC-23). El sistema registra el envío en 17TRACK.</w:t>
      </w:r>
    </w:p>
    <w:p>
      <w:pPr>
        <w:spacing w:after="70"/>
      </w:pPr>
      <w:r>
        <w:t xml:space="preserve">2. La tabla lista los envíos con su N° de seguimiento, ruta, estado (badge, actualizado automáticamente por el webhook de 17TRACK — UC-24) y última actualización.</w:t>
      </w:r>
    </w:p>
    <w:p>
      <w:pPr>
        <w:spacing w:after="70"/>
      </w:pPr>
      <w:r>
        <w:t xml:space="preserve">3. El operador hace clic en Ver historial para el detalle de eventos de un envío (UC-25).</w:t>
      </w: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Postcondición</w:t>
      </w:r>
    </w:p>
    <w:p>
      <w:pPr>
        <w:spacing w:after="120"/>
      </w:pPr>
      <w:r>
        <w:t xml:space="preserve">El envío queda trazado punta a punta entre sucursales.</w:t>
      </w:r>
    </w:p>
    <w:p>
      <w:pPr>
        <w:spacing w:after="200"/>
      </w:pPr>
    </w:p>
    <w:p>
      <w:pPr>
        <w:pStyle w:val="Heading1"/>
        <w:spacing w:after="180" w:before="420"/>
      </w:pPr>
      <w:r>
        <w:t xml:space="preserve">RU-12 — Consultar el panel de indicadores</w:t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Pantalla(s): Panel de indicadores de impacto (Figura 14)  ·  Casos de uso: UC-26, UC-27  ·  Actor(es): Administrador, Operador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32099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3209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880"/>
      </w:tblGrid>
      <w:tr>
        <w:tc>
          <w:tcPr>
            <w:tcW w:type="dxa" w:w="22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Precondición</w:t>
            </w:r>
          </w:p>
        </w:tc>
        <w:tc>
          <w:tcPr>
            <w:tcW w:type="dxa" w:w="7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Hay datos históricos de asignaciones/turnos/envíos.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Disparador</w:t>
            </w:r>
          </w:p>
        </w:tc>
        <w:tc>
          <w:tcPr>
            <w:tcW w:type="dxa" w:w="7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 necesita reportar el impacto de la fundación.</w:t>
            </w:r>
          </w:p>
        </w:tc>
      </w:tr>
    </w:tbl>
    <w:p>
      <w:pPr>
        <w:spacing w:after="100"/>
      </w:pP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Flujo principal</w:t>
      </w:r>
    </w:p>
    <w:p>
      <w:pPr>
        <w:spacing w:after="70"/>
      </w:pPr>
      <w:r>
        <w:t xml:space="preserve">1. El sistema muestra los indicadores agregados (Entregas realizadas, Beneficiarios atendidos, Marcos donados, % de turnos con asistencia) y el gráfico de entregas por mes (UC-26).</w:t>
      </w:r>
    </w:p>
    <w:p>
      <w:pPr>
        <w:spacing w:after="70"/>
      </w:pPr>
      <w:r>
        <w:t xml:space="preserve">2. El usuario cambia el selector de período (p. ej. "Último trimestre") y los indicadores se recalculan para ese rango (UC-27).</w:t>
      </w: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Postcondición</w:t>
      </w:r>
    </w:p>
    <w:p>
      <w:pPr>
        <w:spacing w:after="120"/>
      </w:pPr>
      <w:r>
        <w:t xml:space="preserve">Ninguna (consulta de solo lectura).</w:t>
      </w:r>
    </w:p>
    <w:p>
      <w:pPr>
        <w:spacing w:after="200"/>
      </w:pPr>
    </w:p>
    <w:p>
      <w:pPr>
        <w:pStyle w:val="Heading1"/>
        <w:spacing w:after="180" w:before="420"/>
      </w:pPr>
      <w:r>
        <w:t xml:space="preserve">RU-13 — Consultar el catálogo público de anteojos de sol</w:t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Pantalla(s): Catálogo público (Figura 15)  ·  Casos de uso: UC-28  ·  Actor(es): Comprador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1581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1581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880"/>
      </w:tblGrid>
      <w:tr>
        <w:tc>
          <w:tcPr>
            <w:tcW w:type="dxa" w:w="22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Precondición</w:t>
            </w:r>
          </w:p>
        </w:tc>
        <w:tc>
          <w:tcPr>
            <w:tcW w:type="dxa" w:w="7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Ninguna — acceso público.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Disparador</w:t>
            </w:r>
          </w:p>
        </w:tc>
        <w:tc>
          <w:tcPr>
            <w:tcW w:type="dxa" w:w="7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 visitante entra al catálogo desde el sitio de la fundación.</w:t>
            </w:r>
          </w:p>
        </w:tc>
      </w:tr>
    </w:tbl>
    <w:p>
      <w:pPr>
        <w:spacing w:after="100"/>
      </w:pP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Flujo principal</w:t>
      </w:r>
    </w:p>
    <w:p>
      <w:pPr>
        <w:spacing w:after="70"/>
      </w:pPr>
      <w:r>
        <w:t xml:space="preserve">1. El sistema muestra los productos activos con foto, nombre y precio.</w:t>
      </w:r>
    </w:p>
    <w:p>
      <w:pPr>
        <w:spacing w:after="70"/>
      </w:pPr>
      <w:r>
        <w:t xml:space="preserve">2. El visitante interesado se comunica con la fundación para coordinar la compra (registrada por un operador, RU-14) — el catálogo público no procesa pagos online.</w:t>
      </w: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Postcondición</w:t>
      </w:r>
    </w:p>
    <w:p>
      <w:pPr>
        <w:spacing w:after="120"/>
      </w:pPr>
      <w:r>
        <w:t xml:space="preserve">Ninguna (consulta de solo lectura).</w:t>
      </w:r>
    </w:p>
    <w:p>
      <w:pPr>
        <w:spacing w:after="200"/>
      </w:pPr>
    </w:p>
    <w:p>
      <w:pPr>
        <w:pStyle w:val="Heading1"/>
        <w:spacing w:after="180" w:before="420"/>
      </w:pPr>
      <w:r>
        <w:t xml:space="preserve">RU-14 — Gestionar stock y registrar ventas del catálogo</w:t>
      </w:r>
    </w:p>
    <w:p>
      <w:pPr>
        <w:spacing w:after="160"/>
      </w:pPr>
      <w:r>
        <w:rPr>
          <w:i/>
          <w:iCs/>
          <w:color w:val="555555"/>
          <w:sz w:val="20"/>
          <w:szCs w:val="20"/>
        </w:rPr>
        <w:t xml:space="preserve">Pantalla(s): Catálogo — Gestión de stock y ventas (Figura 16)  ·  Casos de uso: UC-29, UC-30  ·  Actor(es): Administrador (gestión), Operador (venta)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6276975" cy="23050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76975" cy="2305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880"/>
      </w:tblGrid>
      <w:tr>
        <w:tc>
          <w:tcPr>
            <w:tcW w:type="dxa" w:w="22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Precondición</w:t>
            </w:r>
          </w:p>
        </w:tc>
        <w:tc>
          <w:tcPr>
            <w:tcW w:type="dxa" w:w="7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Sesión de ADMIN u OPERATOR.</w:t>
            </w:r>
          </w:p>
        </w:tc>
      </w:tr>
      <w:tr>
        <w:tc>
          <w:tcPr>
            <w:tcW w:type="dxa" w:w="2200"/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/>
                <w:bCs/>
                <w:sz w:val="18"/>
                <w:szCs w:val="18"/>
              </w:rPr>
              <w:t xml:space="preserve">Disparador</w:t>
            </w:r>
          </w:p>
        </w:tc>
        <w:tc>
          <w:tcPr>
            <w:tcW w:type="dxa" w:w="788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Llega stock nuevo, o se concreta una venta.</w:t>
            </w:r>
          </w:p>
        </w:tc>
      </w:tr>
    </w:tbl>
    <w:p>
      <w:pPr>
        <w:spacing w:after="100"/>
      </w:pP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Flujo principal</w:t>
      </w:r>
    </w:p>
    <w:p>
      <w:pPr>
        <w:spacing w:after="70"/>
      </w:pPr>
      <w:r>
        <w:t xml:space="preserve">1. El administrador hace clic en "+ Nuevo producto" o en Editar sobre uno existente para cargar nombre, precio y stock (UC-30).</w:t>
      </w:r>
    </w:p>
    <w:p>
      <w:pPr>
        <w:spacing w:after="70"/>
      </w:pPr>
      <w:r>
        <w:t xml:space="preserve">2. El operador hace clic en Registrar venta sobre un producto con stock disponible, indica la cantidad; el sistema descuenta el stock (UC-29).</w:t>
      </w: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Flujos alternativos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Stock insuficiente: el sistema rechaza la venta con un mensaje y no descuenta stock.</w:t>
      </w:r>
    </w:p>
    <w:p>
      <w:pPr>
        <w:pStyle w:val="ListParagraph"/>
        <w:numPr>
          <w:ilvl w:val="0"/>
          <w:numId w:val="1"/>
        </w:numPr>
        <w:spacing w:after="70"/>
      </w:pPr>
      <w:r>
        <w:t xml:space="preserve">El administrador puede discontinuar un producto (baja lógica): pasa a estado "Discontinuado" y deja de aparecer en el catálogo público, sin borrarse del historial de ventas.</w:t>
      </w:r>
    </w:p>
    <w:p>
      <w:pPr>
        <w:spacing w:after="80" w:before="160"/>
      </w:pPr>
      <w:r>
        <w:rPr>
          <w:b/>
          <w:bCs/>
          <w:i/>
          <w:iCs/>
          <w:sz w:val="21"/>
          <w:szCs w:val="21"/>
        </w:rPr>
        <w:t xml:space="preserve">Postcondición</w:t>
      </w:r>
    </w:p>
    <w:p>
      <w:pPr>
        <w:spacing w:after="120"/>
      </w:pPr>
      <w:r>
        <w:t xml:space="preserve">Stock y/o catálogo actualizados.</w:t>
      </w:r>
    </w:p>
    <w:p>
      <w:pPr>
        <w:spacing w:after="200"/>
      </w:pP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Casos de Uso Reales — Banco de Anteojos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760846e7a3c857737a8fc19745d4354f718b371.png"/><Relationship Id="rId10" Type="http://schemas.openxmlformats.org/officeDocument/2006/relationships/image" Target="media/c523ea3cd5099b258291897bdab0f3ae92e696bc.png"/><Relationship Id="rId11" Type="http://schemas.openxmlformats.org/officeDocument/2006/relationships/image" Target="media/4aa89e63ceab8813777720ff4170665da2c3e450.png"/><Relationship Id="rId12" Type="http://schemas.openxmlformats.org/officeDocument/2006/relationships/image" Target="media/7f1d8b304ef95eb3136da9ac0186a434ffa59f67.png"/><Relationship Id="rId13" Type="http://schemas.openxmlformats.org/officeDocument/2006/relationships/image" Target="media/6521fec58b96f5be88da1489bdd92b3a47709c9b.png"/><Relationship Id="rId14" Type="http://schemas.openxmlformats.org/officeDocument/2006/relationships/image" Target="media/c22e47ae8d8b56fbe0277e06e70424f5dbb40a5f.png"/><Relationship Id="rId15" Type="http://schemas.openxmlformats.org/officeDocument/2006/relationships/image" Target="media/a5d7396ad83d9b95014c3a628dbbc2cff68a8705.png"/><Relationship Id="rId16" Type="http://schemas.openxmlformats.org/officeDocument/2006/relationships/image" Target="media/8421df4e1b3f360421932da22893844483438358.png"/><Relationship Id="rId17" Type="http://schemas.openxmlformats.org/officeDocument/2006/relationships/image" Target="media/0393a7550e426e29ca485327597b2b72580c9fb1.png"/><Relationship Id="rId18" Type="http://schemas.openxmlformats.org/officeDocument/2006/relationships/image" Target="media/a7a1d05a2ca434d2ec4286cf63f1f254c7de4a7d.png"/><Relationship Id="rId19" Type="http://schemas.openxmlformats.org/officeDocument/2006/relationships/image" Target="media/2cb58c72c1b24402b450f6ad19e92c1c293d6fc5.png"/><Relationship Id="rId20" Type="http://schemas.openxmlformats.org/officeDocument/2006/relationships/image" Target="media/3566a0f842162693f3af0bbf81e7422159718fa3.png"/><Relationship Id="rId21" Type="http://schemas.openxmlformats.org/officeDocument/2006/relationships/image" Target="media/72dbae37b095d037cec25661e802b7083d5f5017.png"/><Relationship Id="rId22" Type="http://schemas.openxmlformats.org/officeDocument/2006/relationships/image" Target="media/5d7abb54bbe3810980882b0b030e7709ab2e0a50.png"/><Relationship Id="rId23" Type="http://schemas.openxmlformats.org/officeDocument/2006/relationships/image" Target="media/5795c113615b60c3c6fa75a25e44e4b6ed810f73.png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2026-09-19T16:58:11.522Z</dcterms:created>
  <dcterms:modified xsi:type="dcterms:W3CDTF">2026-09-19T16:58:11.522Z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