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spacing w:after="200"/>
        <w:jc w:val="center"/>
      </w:pPr>
      <w:r>
        <w:rPr>
          <w:b/>
          <w:bCs/>
          <w:sz w:val="40"/>
          <w:szCs w:val="40"/>
        </w:rPr>
        <w:t xml:space="preserve">Especificación de Requisitos de Software (SRS)</w:t>
      </w:r>
    </w:p>
    <w:p>
      <w:pPr>
        <w:spacing w:after="100"/>
        <w:jc w:val="center"/>
      </w:pPr>
      <w:r>
        <w:rPr>
          <w:sz w:val="28"/>
          <w:szCs w:val="28"/>
        </w:rPr>
        <w:t xml:space="preserve">Sistema Banco de Anteojos — Fundación Hacer Futuro</w:t>
      </w:r>
    </w:p>
    <w:p>
      <w:pPr>
        <w:spacing w:after="800"/>
        <w:jc w:val="center"/>
      </w:pPr>
      <w:r>
        <w:rPr>
          <w:i/>
          <w:iCs/>
          <w:sz w:val="22"/>
          <w:szCs w:val="22"/>
        </w:rPr>
        <w:t xml:space="preserve">Basado en IEEE Std 830-1998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686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Proyecto</w:t>
            </w:r>
          </w:p>
        </w:tc>
        <w:tc>
          <w:tcPr>
            <w:tcW w:type="dxa" w:w="6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Proyecto Final UTN-FRT 2026 · ID T045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Organización</w:t>
            </w:r>
          </w:p>
        </w:tc>
        <w:tc>
          <w:tcPr>
            <w:tcW w:type="dxa" w:w="6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Fundación Hacer Futuro — Chacabuco 27, San Miguel de Tucumán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Versión del documento</w:t>
            </w:r>
          </w:p>
        </w:tc>
        <w:tc>
          <w:tcPr>
            <w:tcW w:type="dxa" w:w="6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Estado</w:t>
            </w:r>
          </w:p>
        </w:tc>
        <w:tc>
          <w:tcPr>
            <w:tcW w:type="dxa" w:w="6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Alcance completo del sistema (incluye módulos ya implementados y pendientes)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Fuente de requisitos</w:t>
            </w:r>
          </w:p>
        </w:tc>
        <w:tc>
          <w:tcPr>
            <w:tcW w:type="dxa" w:w="68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Declaración de Alcance v4 / Matriz de Trazabilidad v3, consolidados en docs/REQUIREMENTS.md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400"/>
      </w:pPr>
      <w:r>
        <w:t xml:space="preserve">1. Introducción</w:t>
      </w:r>
    </w:p>
    <w:p>
      <w:pPr>
        <w:pStyle w:val="Heading2"/>
        <w:spacing w:after="150" w:before="300"/>
      </w:pPr>
      <w:r>
        <w:t xml:space="preserve">1.1 Propósito</w:t>
      </w:r>
    </w:p>
    <w:p>
      <w:pPr>
        <w:spacing w:after="120"/>
      </w:pPr>
      <w:r>
        <w:t xml:space="preserve">Este documento especifica los requisitos funcionales y no funcionales del sistema Banco de Anteojos, desarrollado para la Fundación Hacer Futuro. Su propósito es servir como contrato técnico entre el equipo de desarrollo y la cátedra/fundación: define qué debe hacer el sistema, sin prescribir cómo implementarlo (el cómo se documenta en el Documento de Arquitectura de Software).</w:t>
      </w:r>
    </w:p>
    <w:p>
      <w:pPr>
        <w:spacing w:after="120"/>
      </w:pPr>
      <w:r>
        <w:t xml:space="preserve">Está dirigido a: el equipo de desarrollo (como referencia de alcance), la cátedra (como entregable de evaluación) y la fundación (como validación de que el sistema cubre su operatoria real).</w:t>
      </w:r>
    </w:p>
    <w:p>
      <w:pPr>
        <w:pStyle w:val="Heading2"/>
        <w:spacing w:after="150" w:before="300"/>
      </w:pPr>
      <w:r>
        <w:t xml:space="preserve">1.2 Alcance del sistema</w:t>
      </w:r>
    </w:p>
    <w:p>
      <w:pPr>
        <w:spacing w:after="120"/>
      </w:pPr>
      <w:r>
        <w:t xml:space="preserve">El sistema digitaliza la operatoria del Banco de Anteojos, hoy gestionada en papel. Cubre el ciclo completo: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Recepción de donaciones de marcos y registro de donantes.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Registro y validación de elegibilidad de beneficiarios (solicitantes).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Inventario de marcos con clasificación por atributos.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Match entre receta médica y marco disponible, asignación y trazabilidad end-to-end hasta la entrega.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Gestión de turnos de atención y notificaciones asociadas.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Logística de envíos entre sucursales, integrada con el operador de encomiendas Vía Cargo a través de 17TRACK.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Probador virtual de marcos sobre foto estática.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Panel de indicadores de impacto social.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Catálogo de venta de anteojos de sol, como fuente adicional de financiamiento.</w:t>
      </w:r>
    </w:p>
    <w:p>
      <w:pPr>
        <w:spacing w:after="120"/>
      </w:pPr>
      <w:r>
        <w:t xml:space="preserve">Fuera de alcance: procesamiento de pagos online (el bono contribución se valida offline por un operador a partir de un comprobante), realidad aumentada 3D en tiempo real, aplicación móvil nativa, integración directa con Vía Cargo (se realiza vía 17TRACK), y cualquier trámite administrativo externo (el convenio de confronte de datos con RENAPER vía TAD es un trámite de la fundación, no una funcionalidad del sistema).</w:t>
      </w:r>
    </w:p>
    <w:p>
      <w:pPr>
        <w:pStyle w:val="Heading2"/>
        <w:spacing w:after="150" w:before="300"/>
      </w:pPr>
      <w:r>
        <w:t xml:space="preserve">1.3 Definiciones, siglas y abreviaturas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616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 / RNF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Requisito Funcional / Requisito No Funcional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Beneficiario / Solicitante (Applicant)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 sin cobertura médica que solicita anteojos a la fundación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Donante (Donor)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 o entidad que dona marcos usados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Marco (Frame)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Armazón de anteojos donado, sujeto a un ciclo de vida propio en el inventario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Asignación (Assignment)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Vínculo entre un beneficiario, su receta y un marco, con trazabilidad hasta la entrega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SID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Sistema de Identificación Digital de RENAPER (validación de identidad por DNI)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ANSES — Certificación Negativa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Constancia de que la persona no percibe prestación de ANSES, requisito de elegibilidad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TAD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Trámites a Distancia (plataforma del Estado Nacional)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17TRACK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Servicio de terceros que unifica el tracking de encomiendas de múltiples transportistas, incluido Vía Cargo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Bono contribución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Aporte voluntario que el beneficiario transfiere para confirmar su turno de autogestión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 / OPERATOR / APPLICANT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Roles del sistema (ver sección 2.3)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R2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Cloudflare R2, almacenamiento de objetos S3-compatible usado para imágenes y PDFs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RENAPER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Registro Nacional de las Personas</w:t>
            </w:r>
          </w:p>
        </w:tc>
      </w:tr>
    </w:tbl>
    <w:p>
      <w:pPr>
        <w:pStyle w:val="Heading2"/>
        <w:spacing w:after="150" w:before="300"/>
      </w:pPr>
      <w:r>
        <w:t xml:space="preserve">1.4 Referencias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Declaración de Alcance v4 (documento de cátedra — fuente textual de los criterios de aceptación).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Matriz de Trazabilidad v3 (documento de cátedra).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docs/REQUIREMENTS.md — consolidado de RF-01 a RF-30 y RNF-01 a RNF-11 usado como base de este SRS.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IEEE Std 830-1998, Recommended Practice for Software Requirements Specifications.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Ley 25.326 de Protección de Datos Personales (República Argentina).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Documentación pública de 17TRACK API y MediaPipe Face Mesh.</w:t>
      </w:r>
    </w:p>
    <w:p>
      <w:pPr>
        <w:pStyle w:val="Heading2"/>
        <w:spacing w:after="150" w:before="300"/>
      </w:pPr>
      <w:r>
        <w:t xml:space="preserve">1.5 Visión general del documento</w:t>
      </w:r>
    </w:p>
    <w:p>
      <w:pPr>
        <w:spacing w:after="120"/>
      </w:pPr>
      <w:r>
        <w:t xml:space="preserve">La sección 2 describe el sistema en términos generales: perspectiva, funciones, usuarios, restricciones y supuestos. La sección 3 contiene la especificación detallada: interfaces externas, requisitos funcionales agrupados por módulo (con entradas, proceso, salidas y prioridad) y requisitos no funcionales. Los apéndices incluyen glosario extendido, matriz de trazabilidad y matriz de roles y permisos.</w:t>
      </w:r>
    </w:p>
    <w:p>
      <w:pPr>
        <w:pStyle w:val="Heading1"/>
        <w:spacing w:after="200" w:before="400"/>
      </w:pPr>
      <w:r>
        <w:t xml:space="preserve">2. Descripción general</w:t>
      </w:r>
    </w:p>
    <w:p>
      <w:pPr>
        <w:pStyle w:val="Heading2"/>
        <w:spacing w:after="150" w:before="300"/>
      </w:pPr>
      <w:r>
        <w:t xml:space="preserve">2.1 Perspectiva del producto</w:t>
      </w:r>
    </w:p>
    <w:p>
      <w:pPr>
        <w:spacing w:after="120"/>
      </w:pPr>
      <w:r>
        <w:t xml:space="preserve">El sistema es una aplicación web nueva (no reemplaza ningún sistema previo, ya que la operatoria es en papel). Se compone de: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Frontend: SPA en React, consumida desde navegador por el personal de la fundación (ADMIN / OPERATOR) y, para el portal de autogestión, por los propios beneficiarios (APPLICANT).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Backend: API REST en Spring Boot, stateless, autenticada con JWT.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Base de datos: PostgreSQL, única fuente de verdad transaccional.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Servicios de terceros con los que el backend se integra: RENAPER (SID), verificación local del PDF de ANSES (no es un servicio de terceros, es procesamiento propio), 17TRACK (logística), Cloudflare R2 (almacenamiento de imágenes/PDFs).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Cliente embebido en el navegador: MediaPipe Face Mesh para el probador virtual, ejecutado 100% en el dispositivo del usuario.</w:t>
      </w:r>
    </w:p>
    <w:p>
      <w:pPr>
        <w:spacing w:after="120"/>
      </w:pPr>
      <w:r>
        <w:t xml:space="preserve">Diagrama de contexto (representación textual):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[Operador/Admin]        [Beneficiario autogestión]        [Comprador catálogo]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|                          |                                |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+-------------+------------+---------------+----------------+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v                            v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Frontend (React/Vite) -- navegador del usuario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|  HTTPS + JWT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v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Backend (Spring Boot, /v1/**)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|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+-----------------+------------------+-------------------+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v                 v                  v                    v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PostgreSQL      Cloudflare R2        RENAPER (SID)        17TRACK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(Flyway)        (imagenes/PDFs)   (validacion identidad)  (webhook push)</w:t>
      </w:r>
    </w:p>
    <w:p>
      <w:pPr>
        <w:spacing w:after="200"/>
      </w:pPr>
    </w:p>
    <w:p>
      <w:pPr>
        <w:pStyle w:val="Heading2"/>
        <w:spacing w:after="150" w:before="300"/>
      </w:pPr>
      <w:r>
        <w:t xml:space="preserve">2.2 Funciones del producto</w:t>
      </w:r>
    </w:p>
    <w:p>
      <w:pPr>
        <w:spacing w:after="120"/>
      </w:pPr>
      <w:r>
        <w:t xml:space="preserve">Agrupadas por módulo (correspondencia 1 a 1 con los dominios del backend):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Módulo</w:t>
            </w:r>
          </w:p>
        </w:tc>
        <w:tc>
          <w:tcPr>
            <w:tcW w:type="dxa" w:w="616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Función principal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Solicitantes y Validación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Alta, validación de identidad y de elegibilidad ANSES, receta médica, consulta/edición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Donaciones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Alta de donantes, recepción y clasificación de marcos donados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Inventario, Asignación y Trazabilidad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Inventario en tiempo real, match receta↔marco, asignación, trazabilidad end-to-end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Probador Virtual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Detección facial y superposición 2D del marco sobre foto estática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Turnos y Notificaciones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Alta, reprogramación, cancelación y notificación de turnos; autogestión del beneficiario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Logística e Integración 17TRACK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Registro y seguimiento de envíos entre sucursales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Panel de Impacto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Indicadores agregados de impacto social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Catálogo de Venta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Catálogo, venta y gestión de stock de anteojos de sol</w:t>
            </w:r>
          </w:p>
        </w:tc>
      </w:tr>
    </w:tbl>
    <w:p>
      <w:pPr>
        <w:pStyle w:val="Heading2"/>
        <w:spacing w:after="150" w:before="300"/>
      </w:pPr>
      <w:r>
        <w:t xml:space="preserve">2.3 Características de los usuarios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2960"/>
      </w:tblGrid>
      <w:tr>
        <w:trPr>
          <w:tblHeader/>
        </w:trPr>
        <w:tc>
          <w:tcPr>
            <w:tcW w:type="dxa" w:w="220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Rol</w:t>
            </w:r>
          </w:p>
        </w:tc>
        <w:tc>
          <w:tcPr>
            <w:tcW w:type="dxa" w:w="420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296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Nivel técnico esperado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 usuarios, configuración y catálogo de venta. Acceso completo al sistema.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Personal de la fundación, no técnico, capacitación ~30 min (RNF-05)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OPERATOR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Uso diario: registra solicitantes/donaciones, valida elegibilidad, asigna marcos, gestiona turnos y envíos.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Personal de la fundación, no técnico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APPLICANT (beneficiario)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autogestiona: pide turno, sube comprobante del bono contribución, consulta el estado de su marco, usa el probador virtual.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Público general, sin capacitación previa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Comprador del catálogo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Navega el catálogo de anteojos de sol. No requiere cuenta para verlo; la venta la registra un OPERATOR/ADMIN.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Público general</w:t>
            </w:r>
          </w:p>
        </w:tc>
      </w:tr>
    </w:tbl>
    <w:p>
      <w:pPr>
        <w:pStyle w:val="Heading2"/>
        <w:spacing w:after="150" w:before="300"/>
      </w:pPr>
      <w:r>
        <w:t xml:space="preserve">2.4 Restricciones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El backend debe seguir arquitectura en 4 capas con aislamiento estricto entre dominios (ver Documento de Arquitectura, sección Vistas — Vista de Desarrollo).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El schema de base de datos se gestiona exclusivamente por migraciones Flyway (append-only); no se permite DDL generado por Hibernate.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se persisten binarios en PostgreSQL: toda imagen/PDF va a Cloudflare R2 y solo su URL se guarda en base de datos (RNF-07).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El probador virtual no puede depender de un servidor de procesamiento externo (RNF-04): debe funcionar con superposición 2D sobre foto estática, compatible con dispositivos de gama baja.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El plan gratuito de 17TRACK limita a 100 envíos/mes; el sistema no debe asumir un volumen mayor sin migrar de plan.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Idioma del código: inglés. Idioma de la interfaz y de los mensajes al usuario final: español (ver CLAUDE.md del proyecto).</w:t>
      </w:r>
    </w:p>
    <w:p>
      <w:pPr>
        <w:pStyle w:val="Heading2"/>
        <w:spacing w:after="150" w:before="300"/>
      </w:pPr>
      <w:r>
        <w:t xml:space="preserve">2.5 Supuestos y dependencias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 asume que la fundación gestiona por fuera del sistema el convenio de confronte de datos con RENAPER (trámite TAD, PT-1.2.7 de la EDT); el sistema solo consume el servicio una vez habilitado.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 asume disponibilidad de conectividad a internet en el punto de atención para consultar RENAPER y 17TRACK; ante indisponibilidad de RENAPER, el sistema depende de que el operador ejecute la validación presencial documentada como alternativa (RF-06).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 asume que el monto del bono contribución y la validez del comprobante los verifica un humano (operador), no el sistema — el sistema solo garantiza que no se confirme un turno sin comprobante cargado.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Depende de que Cloudflare R2 y 17TRACK estén operativos para sus respectivas funciones; ambos son servicios externos fuera del control del equipo de desarrollo.</w:t>
      </w:r>
    </w:p>
    <w:p>
      <w:pPr>
        <w:pStyle w:val="Heading1"/>
        <w:spacing w:after="200" w:before="400"/>
      </w:pPr>
      <w:r>
        <w:t xml:space="preserve">3. Requisitos específicos</w:t>
      </w:r>
    </w:p>
    <w:p>
      <w:pPr>
        <w:pStyle w:val="Heading2"/>
        <w:spacing w:after="150" w:before="300"/>
      </w:pPr>
      <w:r>
        <w:t xml:space="preserve">3.1 Requisitos de interfaces externas</w:t>
      </w:r>
    </w:p>
    <w:p>
      <w:pPr>
        <w:pStyle w:val="Heading3"/>
        <w:spacing w:after="120" w:before="240"/>
      </w:pPr>
      <w:r>
        <w:t xml:space="preserve">3.1.1 Interfaces de usuario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Aplicación web responsive, operable desde navegadores de escritorio y dispositivos móviles modernos (RNF-11).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Formularios con validación en el borde (cliente) y mensajes de error en español, sin exponer detalles internos (stack traces, nombres de tablas).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Navegación diferenciada por rol: menú y rutas visibles según ADMIN / OPERATOR / APPLICANT.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Convención de fecha única DD/MM/YYYY (ART) en toda la interfaz.</w:t>
      </w:r>
    </w:p>
    <w:p>
      <w:pPr>
        <w:pStyle w:val="Heading3"/>
        <w:spacing w:after="120" w:before="240"/>
      </w:pPr>
      <w:r>
        <w:t xml:space="preserve">3.1.2 Interfaces de hardware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Cámara del dispositivo del usuario para captura de foto (alta de marcos, probador virtual), acceso mediado por API estándar del navegador (getUserMedia); sin hardware propietario.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Sin requerimiento de hardware específico del lado servidor más allá de lo provisto por el hosting (Render).</w:t>
      </w:r>
    </w:p>
    <w:p>
      <w:pPr>
        <w:pStyle w:val="Heading3"/>
        <w:spacing w:after="120" w:before="240"/>
      </w:pPr>
      <w:r>
        <w:t xml:space="preserve">3.1.3 Interfaces de software (servicios de terceros)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200"/>
        <w:gridCol w:w="2200"/>
        <w:gridCol w:w="1960"/>
      </w:tblGrid>
      <w:tr>
        <w:trPr>
          <w:tblHeader/>
        </w:trPr>
        <w:tc>
          <w:tcPr>
            <w:tcW w:type="dxa" w:w="200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Servicio</w:t>
            </w:r>
          </w:p>
        </w:tc>
        <w:tc>
          <w:tcPr>
            <w:tcW w:type="dxa" w:w="320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Propósito</w:t>
            </w:r>
          </w:p>
        </w:tc>
        <w:tc>
          <w:tcPr>
            <w:tcW w:type="dxa" w:w="220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Protocolo</w:t>
            </w:r>
          </w:p>
        </w:tc>
        <w:tc>
          <w:tcPr>
            <w:tcW w:type="dxa" w:w="196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RENAPER — SID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Validar identidad del solicitante a partir del DNI (RF-02)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API vía convenio de confronte de datos (TAD)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 aislado RenaperClient; fallback presencial si no disponible (RF-06)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ANSES (verificación local)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Extraer CUIL y fecha de emisión del código de barras del PDF de Certificación Negativa (RF-04, RF-05)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Procesamiento local del PDF, no hay API pública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es un cliente de terceros; vive en business/applicants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17TRACK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 y seguir envíos entre sucursales por Vía Cargo (RF-23, RF-24)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REST /register + webhook push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 aislado TrackingClient; tier gratuito, 100 envíos/mes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Cloudflare R2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Almacenar imágenes de marcos/catálogo y PDFs (recetas, ANSES, comprobantes)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API S3-compatible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se persiste la URL en PostgreSQL (RNF-07)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MediaPipe Face Mesh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Detección de rostro en el navegador para el probador virtual (RF-17)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Librería cliente (WASM/JS), sin llamada a servidor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Ejecuta 100% en el dispositivo del usuario</w:t>
            </w:r>
          </w:p>
        </w:tc>
      </w:tr>
    </w:tbl>
    <w:p>
      <w:pPr>
        <w:pStyle w:val="Heading3"/>
        <w:spacing w:after="120" w:before="240"/>
      </w:pPr>
      <w:r>
        <w:t xml:space="preserve">3.1.4 Interfaces de comunicación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Toda comunicación frontend↔backend por HTTPS, API REST versionada (/v1/...), JSON en camelCase.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Autenticación stateless por header Authorization: Bearer &lt;JWT&gt;.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Webhook entrante de 17TRACK sobre HTTPS (POST /v1/shipments/webhook), sin sesión de usuario asociada.</w:t>
      </w:r>
    </w:p>
    <w:p>
      <w:pPr>
        <w:pStyle w:val="Heading2"/>
        <w:spacing w:after="150" w:before="300"/>
      </w:pPr>
      <w:r>
        <w:t xml:space="preserve">3.2 Requisitos funcionales</w:t>
      </w:r>
    </w:p>
    <w:p>
      <w:pPr>
        <w:spacing w:after="120"/>
      </w:pPr>
      <w:r>
        <w:t xml:space="preserve">Cada requisito funcional se especifica con: descripción, entradas, proceso, salidas y prioridad (Alta = crítico para el flujo core del banco de anteojos; Media = valor agregado; Baja = mejora/complementario).</w:t>
      </w:r>
    </w:p>
    <w:p>
      <w:pPr>
        <w:pStyle w:val="Heading3"/>
        <w:spacing w:after="120" w:before="240"/>
      </w:pPr>
      <w:r>
        <w:t xml:space="preserve">Módulo 1 — Solicitantes y Validación</w:t>
      </w:r>
    </w:p>
    <w:p>
      <w:pPr>
        <w:spacing w:after="80" w:before="180"/>
      </w:pPr>
      <w:r>
        <w:rPr>
          <w:b/>
          <w:bCs/>
        </w:rPr>
        <w:t xml:space="preserve">RF-01 — Registrar solicitante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el sistema permite registrar un beneficiario con sus datos personales y DNI.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nombre, apellido, DNI, fecha de nacimiento, teléfono, email.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valida formato de DNI y unicidad; crea el registro con identityValidated = false.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solicitante creado, con ID único.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Alta</w:t>
      </w:r>
    </w:p>
    <w:p>
      <w:pPr>
        <w:spacing w:after="80" w:before="180"/>
      </w:pPr>
      <w:r>
        <w:rPr>
          <w:b/>
          <w:bCs/>
        </w:rPr>
        <w:t xml:space="preserve">RF-02 — Validación de identidad vía RENAPER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el sistema integra el SID de RENAPER para validar la identidad a partir del DNI.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DNI del solicitante.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consulta al SID; si coincide, marca identityValidated = true.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resultado de validación (validado / no validado / servicio no disponible).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Alta</w:t>
      </w:r>
    </w:p>
    <w:p>
      <w:pPr>
        <w:spacing w:after="80" w:before="180"/>
      </w:pPr>
      <w:r>
        <w:rPr>
          <w:b/>
          <w:bCs/>
        </w:rPr>
        <w:t xml:space="preserve">RF-03 — Carga de PDF de Certificación Negativa de ANSES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el sistema permite adjuntar el PDF de ANSES del solicitante.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archivo PDF.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sube el PDF a Cloudflare R2 y asocia la URL al solicitante.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certificado ANSES registrado, pendiente de verificación.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Alta</w:t>
      </w:r>
    </w:p>
    <w:p>
      <w:pPr>
        <w:spacing w:after="80" w:before="180"/>
      </w:pPr>
      <w:r>
        <w:rPr>
          <w:b/>
          <w:bCs/>
        </w:rPr>
        <w:t xml:space="preserve">RF-04 — Verificación de CUIL por código de barras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el sistema lee el código de barras del PDF de ANSES, extrae el CUIL codificado y verifica que coincide con el solicitante.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PDF cargado en RF-03.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decodifica el código de barras (formato CUIL-NroTransacción); compara el CUIL contra el registrado o lo asocia si es la primera verificación.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coincidencia confirmada o rechazo con motivo.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Alta</w:t>
      </w:r>
    </w:p>
    <w:p>
      <w:pPr>
        <w:spacing w:after="80" w:before="180"/>
      </w:pPr>
      <w:r>
        <w:rPr>
          <w:b/>
          <w:bCs/>
        </w:rPr>
        <w:t xml:space="preserve">RF-05 — Verificación de vigencia del certificado ANSES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extrae la fecha de emisión del PDF y rechaza automáticamente documentos con más de 30 días de antigüedad; la validación final queda a criterio del operador.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PDF cargado en RF-03.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calcula antigüedad respecto a la fecha actual; marca como vencido si supera 30 días.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estado de vigencia (vigente/vencido), no bloqueante, informativo para el operador.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Alta</w:t>
      </w:r>
    </w:p>
    <w:p>
      <w:pPr>
        <w:spacing w:after="80" w:before="180"/>
      </w:pPr>
      <w:r>
        <w:rPr>
          <w:b/>
          <w:bCs/>
        </w:rPr>
        <w:t xml:space="preserve">RF-06 — Validación presencial alternativa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ante indisponibilidad del SID de RENAPER, habilita la validación presencial del DNI documentada por el operador como alternativa.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confirmación manual del operador (DNI físico verificado).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registra la validación como manual, con el operador responsable.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identityValidated = true por vía alternativa, trazado como tal.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Media</w:t>
      </w:r>
    </w:p>
    <w:p>
      <w:pPr>
        <w:spacing w:after="80" w:before="180"/>
      </w:pPr>
      <w:r>
        <w:rPr>
          <w:b/>
          <w:bCs/>
        </w:rPr>
        <w:t xml:space="preserve">RF-07 — Registrar receta médica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el sistema permite registrar la receta (graduación) del beneficiario.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valores de graduación (por ojo), archivo de la receta (opcional).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asocia la receta al solicitante; puede haber más de una en el tiempo.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receta registrada, disponible para el algoritmo de match (RF-14).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Alta</w:t>
      </w:r>
    </w:p>
    <w:p>
      <w:pPr>
        <w:spacing w:after="80" w:before="180"/>
      </w:pPr>
      <w:r>
        <w:rPr>
          <w:b/>
          <w:bCs/>
        </w:rPr>
        <w:t xml:space="preserve">RF-08 — Consultar, editar y listar solicitantes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permite listar, buscar, ver el detalle y editar los datos de un solicitante.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filtros de búsqueda (DNI, nombre) o ID de solicitante; datos a editar.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consulta paginada; edición valida los mismos formatos que el alta (DNI no editable post-creación, por ser la identidad validada contra RENAPER).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listado, detalle o confirmación de edición.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Alta</w:t>
      </w:r>
    </w:p>
    <w:p>
      <w:pPr>
        <w:pStyle w:val="Heading3"/>
        <w:spacing w:after="120" w:before="240"/>
      </w:pPr>
      <w:r>
        <w:t xml:space="preserve">Módulo 2 — Donaciones</w:t>
      </w:r>
    </w:p>
    <w:p>
      <w:pPr>
        <w:spacing w:after="80" w:before="180"/>
      </w:pPr>
      <w:r>
        <w:rPr>
          <w:b/>
          <w:bCs/>
        </w:rPr>
        <w:t xml:space="preserve">RF-09 — Registrar donante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permite registrar un donante, persona física o entidad.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tipo de donante, datos de contacto.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valida datos mínimos según tipo; crea el registro.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donante creado con ID único.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Alta</w:t>
      </w:r>
    </w:p>
    <w:p>
      <w:pPr>
        <w:spacing w:after="80" w:before="180"/>
      </w:pPr>
      <w:r>
        <w:rPr>
          <w:b/>
          <w:bCs/>
        </w:rPr>
        <w:t xml:space="preserve">RF-10 — Registrar recepción de marcos donados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registra la recepción de marcos donados, asignando a cada uno un identificador único (precinto).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donante, cantidad y datos de cada marco.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crea un Frame por unidad, vinculado al donante, en estado AVAILABLE.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marcos registrados en inventario.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Alta</w:t>
      </w:r>
    </w:p>
    <w:p>
      <w:pPr>
        <w:spacing w:after="80" w:before="180"/>
      </w:pPr>
      <w:r>
        <w:rPr>
          <w:b/>
          <w:bCs/>
        </w:rPr>
        <w:t xml:space="preserve">RF-11 — Clasificar marcos por atributos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permite clasificar los marcos según tipo, material y medidas.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tipo de marco, material, medidas.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persiste los atributos como parte del Frame, usados luego por el algoritmo de match.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marco clasificado.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Alta</w:t>
      </w:r>
    </w:p>
    <w:p>
      <w:pPr>
        <w:spacing w:after="80" w:before="180"/>
      </w:pPr>
      <w:r>
        <w:rPr>
          <w:b/>
          <w:bCs/>
        </w:rPr>
        <w:t xml:space="preserve">RF-12 — Consultar y listar donaciones y donantes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permite consultar el historial de donaciones por donante y listar donantes.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filtros de búsqueda.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consulta paginada.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listado de donantes / marcos donados por donante.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Media</w:t>
      </w:r>
    </w:p>
    <w:p>
      <w:pPr>
        <w:pStyle w:val="Heading3"/>
        <w:spacing w:after="120" w:before="240"/>
      </w:pPr>
      <w:r>
        <w:t xml:space="preserve">Módulo 3 — Inventario, Asignación y Trazabilidad</w:t>
      </w:r>
    </w:p>
    <w:p>
      <w:pPr>
        <w:spacing w:after="80" w:before="180"/>
      </w:pPr>
      <w:r>
        <w:rPr>
          <w:b/>
          <w:bCs/>
        </w:rPr>
        <w:t xml:space="preserve">RF-13 — Inventario en tiempo real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mantiene el control de inventario en tiempo real de los marcos disponibles.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altas/bajas/cambios de estado de marcos.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cada transición de estado (AVAILABLE → ASSIGNED → AT_OPTICIAN → READY → DELIVERED, o DISCARDED) se refleja de inmediato en la consulta de inventario.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vista de inventario actualizada, filtrable por estado/atributos.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Alta</w:t>
      </w:r>
    </w:p>
    <w:p>
      <w:pPr>
        <w:spacing w:after="80" w:before="180"/>
      </w:pPr>
      <w:r>
        <w:rPr>
          <w:b/>
          <w:bCs/>
        </w:rPr>
        <w:t xml:space="preserve">RF-14 — Algoritmo de match receta↔marco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ejecuta un match entre la receta médica del beneficiario y los atributos de los marcos disponibles.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receta del beneficiario, inventario disponible.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filtra/ordena marcos candidatos según compatibilidad con la graduación y atributos requeridos.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lista de marcos candidatos para asignar.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Alta</w:t>
      </w:r>
    </w:p>
    <w:p>
      <w:pPr>
        <w:spacing w:after="80" w:before="180"/>
      </w:pPr>
      <w:r>
        <w:rPr>
          <w:b/>
          <w:bCs/>
        </w:rPr>
        <w:t xml:space="preserve">RF-15 — Asignar marco a beneficiario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permite asignar un marco a un beneficiario y descuenta la unidad del inventario.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solicitante, receta, marco elegido.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crea una Assignment, cambia el marco a ASSIGNED.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asignación creada, marco removido del inventario disponible.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Alta</w:t>
      </w:r>
    </w:p>
    <w:p>
      <w:pPr>
        <w:spacing w:after="80" w:before="180"/>
      </w:pPr>
      <w:r>
        <w:rPr>
          <w:b/>
          <w:bCs/>
        </w:rPr>
        <w:t xml:space="preserve">RF-16 — Trazabilidad end-to-end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mantiene la trazabilidad de cada par de anteojos desde la donación hasta la entrega.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eventos de ciclo de vida (envío a óptica, retorno, entrega, cancelación).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cada transición queda registrada con fecha y responsable, consultable desde la asignación.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historial completo consultable por asignación o por marco.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Alta</w:t>
      </w:r>
    </w:p>
    <w:p>
      <w:pPr>
        <w:pStyle w:val="Heading3"/>
        <w:spacing w:after="120" w:before="240"/>
      </w:pPr>
      <w:r>
        <w:t xml:space="preserve">Módulo 4 — Probador Virtual</w:t>
      </w:r>
    </w:p>
    <w:p>
      <w:pPr>
        <w:spacing w:after="80" w:before="180"/>
      </w:pPr>
      <w:r>
        <w:rPr>
          <w:b/>
          <w:bCs/>
        </w:rPr>
        <w:t xml:space="preserve">RF-17 — Detección de rostro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detecta el rostro sobre una foto estática del beneficiario usando MediaPipe Face Mesh.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foto estática (cámara o archivo).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procesamiento client-side con MediaPipe; si falla, degrada a estado "no disponible" sin romper el resto de la app.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puntos de referencia faciales (landmarks).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Media</w:t>
      </w:r>
    </w:p>
    <w:p>
      <w:pPr>
        <w:spacing w:after="80" w:before="180"/>
      </w:pPr>
      <w:r>
        <w:rPr>
          <w:b/>
          <w:bCs/>
        </w:rPr>
        <w:t xml:space="preserve">RF-18 — Superposición 2D del marco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superpone en 2D (Canvas) el marco seleccionado sobre la foto del beneficiario.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landmarks de RF-17, imagen del marco.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posiciona y escala el marco según los landmarks; permite ajuste manual (rotación, altura).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previsualización renderizada en Canvas.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Media</w:t>
      </w:r>
    </w:p>
    <w:p>
      <w:pPr>
        <w:spacing w:after="80" w:before="180"/>
      </w:pPr>
      <w:r>
        <w:rPr>
          <w:b/>
          <w:bCs/>
        </w:rPr>
        <w:t xml:space="preserve">RF-19 — Selección de distintos marcos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permite seleccionar distintos marcos disponibles para previsualizar cómo lucen.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selección del usuario sobre el catálogo/inventario de marcos.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recalcula la superposición (RF-18) para el marco elegido.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previsualización actualizada.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Baja</w:t>
      </w:r>
    </w:p>
    <w:p>
      <w:pPr>
        <w:pStyle w:val="Heading3"/>
        <w:spacing w:after="120" w:before="240"/>
      </w:pPr>
      <w:r>
        <w:t xml:space="preserve">Módulo 5 — Turnos y Notificaciones</w:t>
      </w:r>
    </w:p>
    <w:p>
      <w:pPr>
        <w:spacing w:after="80" w:before="180"/>
      </w:pPr>
      <w:r>
        <w:rPr>
          <w:b/>
          <w:bCs/>
        </w:rPr>
        <w:t xml:space="preserve">RF-20 — Registrar turnos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permite registrar turnos de atención para los beneficiarios.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solicitante, fecha/hora deseada.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valida disponibilidad; en el flujo de autogestión, el turno nace en estado PENDING_PAYMENT hasta que se cargue el comprobante del bono contribución.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turno creado.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Alta</w:t>
      </w:r>
    </w:p>
    <w:p>
      <w:pPr>
        <w:spacing w:after="80" w:before="180"/>
      </w:pPr>
      <w:r>
        <w:rPr>
          <w:b/>
          <w:bCs/>
        </w:rPr>
        <w:t xml:space="preserve">RF-21 — Gestionar turnos (reprogramación y cancelación)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permite reprogramar y cancelar turnos.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turno existente, nueva fecha/hora o motivo de cancelación.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valida pertenencia del turno (el beneficiario solo puede gestionar los propios); cambia fecha o estado a CANCELLED.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turno actualizado.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Alta</w:t>
      </w:r>
    </w:p>
    <w:p>
      <w:pPr>
        <w:spacing w:after="80" w:before="180"/>
      </w:pPr>
      <w:r>
        <w:rPr>
          <w:b/>
          <w:bCs/>
        </w:rPr>
        <w:t xml:space="preserve">RF-22 — Notificaciones automáticas de turnos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envía notificaciones automáticas asociadas a los turnos.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evento de turno (confirmación al pasar a SCHEDULED, recordatorio, cancelación).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dispara la notificación correspondiente; un fallo en el envío no debe interrumpir el flujo principal.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notificación entregada al beneficiario (canal a definir: email/SMS).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Media</w:t>
      </w:r>
    </w:p>
    <w:p>
      <w:pPr>
        <w:pStyle w:val="Heading3"/>
        <w:spacing w:after="120" w:before="240"/>
      </w:pPr>
      <w:r>
        <w:t xml:space="preserve">Módulo 6 — Logística e Integración 17TRACK</w:t>
      </w:r>
    </w:p>
    <w:p>
      <w:pPr>
        <w:spacing w:after="80" w:before="180"/>
      </w:pPr>
      <w:r>
        <w:rPr>
          <w:b/>
          <w:bCs/>
        </w:rPr>
        <w:t xml:space="preserve">RF-23 — Registrar envío en 17TRACK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registra los envíos en 17TRACK (/register) para seguimiento de Vía Cargo.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datos del envío (origen, destino, número de seguimiento de Vía Cargo).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llama al endpoint /register de 17TRACK vía TrackingClient; crea el Shipment en estado despachado.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envío registrado y en seguimiento.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Media</w:t>
      </w:r>
    </w:p>
    <w:p>
      <w:pPr>
        <w:spacing w:after="80" w:before="180"/>
      </w:pPr>
      <w:r>
        <w:rPr>
          <w:b/>
          <w:bCs/>
        </w:rPr>
        <w:t xml:space="preserve">RF-24 — Actualizaciones automáticas por webhook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recibe actualizaciones automáticas del estado de los envíos mediante webhook push de 17TRACK.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payload del webhook (POST /v1/shipments/webhook).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valida el payload, actualiza el estado del Shipment y registra un ShipmentEvent.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estado del envío actualizado, evento trazado.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Media</w:t>
      </w:r>
    </w:p>
    <w:p>
      <w:pPr>
        <w:spacing w:after="80" w:before="180"/>
      </w:pPr>
      <w:r>
        <w:rPr>
          <w:b/>
          <w:bCs/>
        </w:rPr>
        <w:t xml:space="preserve">RF-25 — Consultar estado y trazabilidad de envíos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permite consultar el estado y la trazabilidad de los envíos entre sucursales.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ID de envío o filtros.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consulta el envío y su historial de eventos.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estado actual + historial.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Media</w:t>
      </w:r>
    </w:p>
    <w:p>
      <w:pPr>
        <w:pStyle w:val="Heading3"/>
        <w:spacing w:after="120" w:before="240"/>
      </w:pPr>
      <w:r>
        <w:t xml:space="preserve">Módulo 7 — Panel de Impacto</w:t>
      </w:r>
    </w:p>
    <w:p>
      <w:pPr>
        <w:spacing w:after="80" w:before="180"/>
      </w:pPr>
      <w:r>
        <w:rPr>
          <w:b/>
          <w:bCs/>
        </w:rPr>
        <w:t xml:space="preserve">RF-26 — Panel de indicadores de impacto social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presenta indicadores como entregas realizadas y beneficiarios atendidos.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ninguna (agregación de datos existentes).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calcula agregados (conteos, sumas) sobre asignaciones, entregas y turnos.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panel con indicadores clave.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Media</w:t>
      </w:r>
    </w:p>
    <w:p>
      <w:pPr>
        <w:spacing w:after="80" w:before="180"/>
      </w:pPr>
      <w:r>
        <w:rPr>
          <w:b/>
          <w:bCs/>
        </w:rPr>
        <w:t xml:space="preserve">RF-27 — Métricas agregadas por período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permite visualizar métricas agregadas filtradas por período.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rango de fechas.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recalcula los indicadores de RF-26 acotados al período.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métricas del período solicitado.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Baja</w:t>
      </w:r>
    </w:p>
    <w:p>
      <w:pPr>
        <w:pStyle w:val="Heading3"/>
        <w:spacing w:after="120" w:before="240"/>
      </w:pPr>
      <w:r>
        <w:t xml:space="preserve">Módulo 8 — Catálogo de Venta</w:t>
      </w:r>
    </w:p>
    <w:p>
      <w:pPr>
        <w:spacing w:after="80" w:before="180"/>
      </w:pPr>
      <w:r>
        <w:rPr>
          <w:b/>
          <w:bCs/>
        </w:rPr>
        <w:t xml:space="preserve">RF-28 — Catálogo digital de anteojos de sol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muestra un catálogo de anteojos de sol disponibles con su precio.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ninguna (consulta pública).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lista productos en estado activo, con imagen y precio.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catálogo visible.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Media</w:t>
      </w:r>
    </w:p>
    <w:p>
      <w:pPr>
        <w:spacing w:after="80" w:before="180"/>
      </w:pPr>
      <w:r>
        <w:rPr>
          <w:b/>
          <w:bCs/>
        </w:rPr>
        <w:t xml:space="preserve">RF-29 — Registrar venta con descuento de stock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permite registrar una venta con descuento automático del stock disponible.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producto, cantidad.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valida stock suficiente; crea la Sale y descuenta unidades del Product.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venta registrada, stock actualizado.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Media</w:t>
      </w:r>
    </w:p>
    <w:p>
      <w:pPr>
        <w:spacing w:after="80" w:before="180"/>
      </w:pPr>
      <w:r>
        <w:rPr>
          <w:b/>
          <w:bCs/>
        </w:rPr>
        <w:t xml:space="preserve">RF-30 — Gestionar stock del catálogo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Descripción: </w:t>
      </w:r>
      <w:r>
        <w:t xml:space="preserve">permite cargar, actualizar y dar de baja productos del catálogo.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Entradas: </w:t>
      </w:r>
      <w:r>
        <w:t xml:space="preserve">datos del producto (alta/edición) o baja lógica.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Proceso: </w:t>
      </w:r>
      <w:r>
        <w:t xml:space="preserve">CRUD sobre Product, incluyendo discontinuación (baja lógica, no borrado físico).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Salidas: </w:t>
      </w:r>
      <w:r>
        <w:t xml:space="preserve">catálogo actualizado.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</w:rPr>
        <w:t xml:space="preserve">Prioridad: </w:t>
      </w:r>
      <w:r>
        <w:rPr>
          <w:b/>
          <w:bCs/>
        </w:rPr>
        <w:t xml:space="preserve">Media</w:t>
      </w:r>
    </w:p>
    <w:p>
      <w:pPr>
        <w:pStyle w:val="Heading2"/>
        <w:spacing w:after="150" w:before="300"/>
      </w:pPr>
      <w:r>
        <w:t xml:space="preserve">3.3 Requisitos no funcionales</w:t>
      </w:r>
    </w:p>
    <w:p>
      <w:pPr>
        <w:spacing w:after="80" w:before="180"/>
      </w:pPr>
      <w:r>
        <w:rPr>
          <w:b/>
          <w:bCs/>
        </w:rPr>
        <w:t xml:space="preserve">RNF-01 — Autenticación y autorización</w:t>
      </w:r>
    </w:p>
    <w:p>
      <w:pPr>
        <w:spacing w:after="120"/>
      </w:pPr>
      <w:r>
        <w:t xml:space="preserve">Autenticación mediante JWT stateless, con roles diferenciados ADMIN, OPERATOR y APPLICANT. Cada endpoint valida el rol requerido; el rol APPLICANT solo accede a sus propios recursos (/v1/me/**), nunca a los de otro beneficiario.</w:t>
      </w:r>
    </w:p>
    <w:p>
      <w:pPr>
        <w:spacing w:after="120"/>
      </w:pPr>
      <w:r>
        <w:rPr>
          <w:i/>
          <w:iCs/>
        </w:rPr>
        <w:t xml:space="preserve">Criterio de verificación: </w:t>
      </w:r>
      <w:r>
        <w:t xml:space="preserve">un request sin token o con rol insuficiente responde 401/403.</w:t>
      </w:r>
    </w:p>
    <w:p>
      <w:pPr>
        <w:spacing w:after="80" w:before="180"/>
      </w:pPr>
      <w:r>
        <w:rPr>
          <w:b/>
          <w:bCs/>
        </w:rPr>
        <w:t xml:space="preserve">RNF-02 — Protección de datos personales</w:t>
      </w:r>
    </w:p>
    <w:p>
      <w:pPr>
        <w:spacing w:after="120"/>
      </w:pPr>
      <w:r>
        <w:t xml:space="preserve">Tratamiento de datos personales conforme a la Ley 25.326. Los datos sensibles (DNI, CUIL, datos de salud implícitos en la receta) se acceden solo por roles autorizados y no se exponen en logs ni mensajes de error.</w:t>
      </w:r>
    </w:p>
    <w:p>
      <w:pPr>
        <w:spacing w:after="80" w:before="180"/>
      </w:pPr>
      <w:r>
        <w:rPr>
          <w:b/>
          <w:bCs/>
        </w:rPr>
        <w:t xml:space="preserve">RNF-03 — Gestión de credenciales y secretos</w:t>
      </w:r>
    </w:p>
    <w:p>
      <w:pPr>
        <w:spacing w:after="120"/>
      </w:pPr>
      <w:r>
        <w:t xml:space="preserve">Contraseñas con hash BCrypt. Credenciales y secretos (JWT, R2, API key de 17TRACK) se cargan desde configuración externa (.env), nunca versionados en el repositorio.</w:t>
      </w:r>
    </w:p>
    <w:p>
      <w:pPr>
        <w:spacing w:after="80" w:before="180"/>
      </w:pPr>
      <w:r>
        <w:rPr>
          <w:b/>
          <w:bCs/>
        </w:rPr>
        <w:t xml:space="preserve">RNF-04 — Compatibilidad del probador virtual con gama baja</w:t>
      </w:r>
    </w:p>
    <w:p>
      <w:pPr>
        <w:spacing w:after="120"/>
      </w:pPr>
      <w:r>
        <w:t xml:space="preserve">Superposición 2D sobre foto estática, sin dependencia de un servidor de procesamiento externo; debe funcionar en dispositivos de gama baja.</w:t>
      </w:r>
    </w:p>
    <w:p>
      <w:pPr>
        <w:spacing w:after="80" w:before="180"/>
      </w:pPr>
      <w:r>
        <w:rPr>
          <w:b/>
          <w:bCs/>
        </w:rPr>
        <w:t xml:space="preserve">RNF-05 — Usabilidad para personal no técnico</w:t>
      </w:r>
    </w:p>
    <w:p>
      <w:pPr>
        <w:spacing w:after="120"/>
      </w:pPr>
      <w:r>
        <w:t xml:space="preserve">La interfaz debe ser operable por personal no técnico de la fundación tras una capacitación mínima (~30 minutos): labels claros en español, estados de carga/error visibles, validación en el borde.</w:t>
      </w:r>
    </w:p>
    <w:p>
      <w:pPr>
        <w:spacing w:after="80" w:before="180"/>
      </w:pPr>
      <w:r>
        <w:rPr>
          <w:b/>
          <w:bCs/>
        </w:rPr>
        <w:t xml:space="preserve">RNF-06 — Despliegue en producción</w:t>
      </w:r>
    </w:p>
    <w:p>
      <w:pPr>
        <w:spacing w:after="120"/>
      </w:pPr>
      <w:r>
        <w:t xml:space="preserve">El sistema se despliega en Render (backend + PostgreSQL), a partir del mismo repositorio (backend/ y frontend/ como Root Directory de cada servicio).</w:t>
      </w:r>
    </w:p>
    <w:p>
      <w:pPr>
        <w:spacing w:after="80" w:before="180"/>
      </w:pPr>
      <w:r>
        <w:rPr>
          <w:b/>
          <w:bCs/>
        </w:rPr>
        <w:t xml:space="preserve">RNF-07 — Almacenamiento de imágenes</w:t>
      </w:r>
    </w:p>
    <w:p>
      <w:pPr>
        <w:spacing w:after="120"/>
      </w:pPr>
      <w:r>
        <w:t xml:space="preserve">Las imágenes y PDFs se almacenan en Cloudflare R2; en PostgreSQL se persiste únicamente la URL, nunca el binario.</w:t>
      </w:r>
    </w:p>
    <w:p>
      <w:pPr>
        <w:spacing w:after="80" w:before="180"/>
      </w:pPr>
      <w:r>
        <w:rPr>
          <w:b/>
          <w:bCs/>
        </w:rPr>
        <w:t xml:space="preserve">RNF-08 — Tiempos de respuesta</w:t>
      </w:r>
    </w:p>
    <w:p>
      <w:pPr>
        <w:spacing w:after="120"/>
      </w:pPr>
      <w:r>
        <w:t xml:space="preserve">Las operaciones frecuentes (listados, alta de solicitante, asignación) se mantienen dentro de márgenes aceptables para uso interactivo (referencia orientativa: percibido como inmediato por un operador, sin definir un SLA numérico estricto dado el volumen esperado de la fundación).</w:t>
      </w:r>
    </w:p>
    <w:p>
      <w:pPr>
        <w:spacing w:after="80" w:before="180"/>
      </w:pPr>
      <w:r>
        <w:rPr>
          <w:b/>
          <w:bCs/>
        </w:rPr>
        <w:t xml:space="preserve">RNF-09 — Auditoría de operaciones sensibles</w:t>
      </w:r>
    </w:p>
    <w:p>
      <w:pPr>
        <w:spacing w:after="120"/>
      </w:pPr>
      <w:r>
        <w:t xml:space="preserve">Las operaciones sensibles (validaciones de identidad, asignaciones, entregas, bajas) quedan registradas para su trazabilidad, con fecha y responsable.</w:t>
      </w:r>
    </w:p>
    <w:p>
      <w:pPr>
        <w:spacing w:after="80" w:before="180"/>
      </w:pPr>
      <w:r>
        <w:rPr>
          <w:b/>
          <w:bCs/>
        </w:rPr>
        <w:t xml:space="preserve">RNF-10 — Arquitectura en capas del backend</w:t>
      </w:r>
    </w:p>
    <w:p>
      <w:pPr>
        <w:spacing w:after="120"/>
      </w:pPr>
      <w:r>
        <w:t xml:space="preserve">El backend sigue una arquitectura en capas con separación estricta de responsabilidades: presentation → orchestrator → business → persistence, más un paquete aislado para clientes de terceros. Documentado en backend/CLAUDE.md y en el Documento de Arquitectura (Vista de Desarrollo).</w:t>
      </w:r>
    </w:p>
    <w:p>
      <w:pPr>
        <w:spacing w:after="80" w:before="180"/>
      </w:pPr>
      <w:r>
        <w:rPr>
          <w:b/>
          <w:bCs/>
        </w:rPr>
        <w:t xml:space="preserve">RNF-11 — Compatibilidad de navegadores</w:t>
      </w:r>
    </w:p>
    <w:p>
      <w:pPr>
        <w:spacing w:after="120"/>
      </w:pPr>
      <w:r>
        <w:t xml:space="preserve">El frontend es compatible con navegadores web modernos (últimas versiones de Chrome, Firefox, Edge, Safari).</w:t>
      </w:r>
    </w:p>
    <w:p>
      <w:pPr>
        <w:pStyle w:val="Heading2"/>
        <w:spacing w:after="150" w:before="300"/>
      </w:pPr>
      <w:r>
        <w:t xml:space="preserve">3.4 Reglas de negocio transversales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Validación de pertenencia primero: todo caso de uso que opera sobre un recurso de un beneficiario (turno, asignación, marco) valida primero que ese recurso pertenece a quien lo solicita, antes de ejecutar cualquier otra lógica. Un fallo de pertenencia responde 403.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DNI inmutable: el DNI del solicitante no se edita una vez creado, por ser la identidad contra la que se validó RENAPER.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CUIL derivado, no cargado: el CUIL del solicitante no lo ingresa el operador; queda registrado automáticamente cuando una Certificación Negativa de ANSES válida lo confirma (RF-04).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Turno de autogestión condicionado al pago: un turno creado por autogestión nace PENDING_PAYMENT y solo pasa a SCHEDULED (disparando la notificación de RF-22) cuando se sube el comprobante del bono contribución; el monto no lo valida el sistema, lo revisa un operador después.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Baja lógica, no borrado físico: marcos descartados y productos discontinuados cambian de estado (DISCARDED / DISCONTINUED), nunca se eliminan de la base de datos, para preservar la trazabilidad histórica.</w:t>
      </w:r>
    </w:p>
    <w:p>
      <w:pPr>
        <w:pStyle w:val="Heading1"/>
        <w:spacing w:after="200" w:before="400"/>
      </w:pPr>
      <w:r>
        <w:t xml:space="preserve">4. Apéndices</w:t>
      </w:r>
    </w:p>
    <w:p>
      <w:pPr>
        <w:pStyle w:val="Heading2"/>
        <w:spacing w:after="150" w:before="300"/>
      </w:pPr>
      <w:r>
        <w:t xml:space="preserve">Apéndice A — Glosario extendido</w:t>
      </w:r>
    </w:p>
    <w:p>
      <w:pPr>
        <w:spacing w:after="120"/>
      </w:pPr>
      <w:r>
        <w:t xml:space="preserve">Ver sección 1.3. Se amplía con vocabulario de estados: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Estados de Frame: AVAILABLE, ASSIGNED, AT_OPTICIAN, READY, DELIVERED, DISCARDED.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Estados de Appointment: PENDING_PAYMENT, SCHEDULED, COMPLETED, MISSED, CANCELLED.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Estados de Product: activo / DISCONTINUED.</w:t>
      </w:r>
    </w:p>
    <w:p>
      <w:pPr>
        <w:pStyle w:val="Heading2"/>
        <w:spacing w:after="150" w:before="300"/>
      </w:pPr>
      <w:r>
        <w:t xml:space="preserve">Apéndice B — Matriz de trazabilidad (resumen)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700"/>
        <w:gridCol w:w="1300"/>
        <w:gridCol w:w="3460"/>
      </w:tblGrid>
      <w:tr>
        <w:trPr>
          <w:tblHeader/>
        </w:trPr>
        <w:tc>
          <w:tcPr>
            <w:tcW w:type="dxa" w:w="290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Módulo</w:t>
            </w:r>
          </w:p>
        </w:tc>
        <w:tc>
          <w:tcPr>
            <w:tcW w:type="dxa" w:w="170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RF</w:t>
            </w:r>
          </w:p>
        </w:tc>
        <w:tc>
          <w:tcPr>
            <w:tcW w:type="dxa" w:w="130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Prioridad</w:t>
            </w:r>
          </w:p>
        </w:tc>
        <w:tc>
          <w:tcPr>
            <w:tcW w:type="dxa" w:w="346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Estado de implementación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 Solicitantes y Validación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RF-01, RF-07, RF-08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  <w:tc>
          <w:tcPr>
            <w:tcW w:type="dxa" w:w="3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Implementado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 Solicitantes y Validación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RF-03, RF-04, RF-05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  <w:tc>
          <w:tcPr>
            <w:tcW w:type="dxa" w:w="3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Implementado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 Solicitantes y Validación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RF-02, RF-06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Alta / Media</w:t>
            </w:r>
          </w:p>
        </w:tc>
        <w:tc>
          <w:tcPr>
            <w:tcW w:type="dxa" w:w="3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Pendiente (cliente RENAPER no implementado; fallback manual a confirmar)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2. Donaciones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RF-09 a RF-12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Alta / Media</w:t>
            </w:r>
          </w:p>
        </w:tc>
        <w:tc>
          <w:tcPr>
            <w:tcW w:type="dxa" w:w="3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Implementado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3. Inventario, Asignación y Trazabilidad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RF-13 a RF-16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  <w:tc>
          <w:tcPr>
            <w:tcW w:type="dxa" w:w="3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Implementado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4. Probador Virtual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RF-17 a RF-19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Media / Baja</w:t>
            </w:r>
          </w:p>
        </w:tc>
        <w:tc>
          <w:tcPr>
            <w:tcW w:type="dxa" w:w="3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Implementado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5. Turnos y Notificaciones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RF-20, RF-21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  <w:tc>
          <w:tcPr>
            <w:tcW w:type="dxa" w:w="3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Implementado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5. Turnos y Notificaciones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RF-22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Media</w:t>
            </w:r>
          </w:p>
        </w:tc>
        <w:tc>
          <w:tcPr>
            <w:tcW w:type="dxa" w:w="3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Implementado (a confirmar canal de notificación)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6. Logística e Integración 17TRACK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RF-23 a RF-25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Media</w:t>
            </w:r>
          </w:p>
        </w:tc>
        <w:tc>
          <w:tcPr>
            <w:tcW w:type="dxa" w:w="3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Implementado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7. Panel de Impacto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RF-26, RF-27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Media / Baja</w:t>
            </w:r>
          </w:p>
        </w:tc>
        <w:tc>
          <w:tcPr>
            <w:tcW w:type="dxa" w:w="3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Implementado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8. Catálogo de Venta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RF-28 a RF-30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Media</w:t>
            </w:r>
          </w:p>
        </w:tc>
        <w:tc>
          <w:tcPr>
            <w:tcW w:type="dxa" w:w="34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Implementado</w:t>
            </w:r>
          </w:p>
        </w:tc>
      </w:tr>
    </w:tbl>
    <w:p>
      <w:pPr>
        <w:spacing w:after="120"/>
      </w:pPr>
      <w:r>
        <w:rPr>
          <w:i/>
          <w:iCs/>
        </w:rPr>
        <w:t xml:space="preserve">Nota: este documento especifica el alcance completo comprometido (RF-01 a RF-30). El detalle de estado de implementación es informativo para el seguimiento del proyecto y no forma parte de la especificación en sí.</w:t>
      </w:r>
    </w:p>
    <w:p>
      <w:pPr>
        <w:pStyle w:val="Heading2"/>
        <w:spacing w:after="150" w:before="300"/>
      </w:pPr>
      <w:r>
        <w:t xml:space="preserve">Apéndice C — Matriz de roles y permisos (resumen)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300"/>
        <w:gridCol w:w="1900"/>
        <w:gridCol w:w="3360"/>
      </w:tblGrid>
      <w:tr>
        <w:trPr>
          <w:tblHeader/>
        </w:trPr>
        <w:tc>
          <w:tcPr>
            <w:tcW w:type="dxa" w:w="280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Recurso</w:t>
            </w:r>
          </w:p>
        </w:tc>
        <w:tc>
          <w:tcPr>
            <w:tcW w:type="dxa" w:w="130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ADMIN</w:t>
            </w:r>
          </w:p>
        </w:tc>
        <w:tc>
          <w:tcPr>
            <w:tcW w:type="dxa" w:w="190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OPERATOR</w:t>
            </w:r>
          </w:p>
        </w:tc>
        <w:tc>
          <w:tcPr>
            <w:tcW w:type="dxa" w:w="3360"/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APPLICANT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Solicitantes (alta/edición/listado)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Validación de identidad y ANSES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Donantes y marcos donados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Inventario y asignación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lectura de su propia asignación (/v1/me/assignments)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Turnos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 (gestión de todos)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Alta/consulta de los propios (/v1/me/appointments)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Envíos/logística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Indicadores de impacto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Catálogo — consulta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Público (sin autenticación)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Catálogo — alta/edición/venta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Usuarios y configuración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SRS — Banco de Anteojos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2026-09-19T16:15:12.545Z</dcterms:created>
  <dcterms:modified xsi:type="dcterms:W3CDTF">2026-09-19T16:15:12.545Z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