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OBSERVACIONES Y SUGERENCIAS DEL “PROYECTO FINAL – BANCO DE ANTEOJOS (PMV)” – CICLO 1</w:t>
      </w:r>
    </w:p>
    <w:p>
      <w:pPr>
        <w:jc w:val="center"/>
      </w:pPr>
      <w:r>
        <w:rPr>
          <w:i/>
        </w:rPr>
        <w:t>Fecha: 20/10/2026 · Testers: Ochoa, Ivan; Ocaranza, Javier; Sleiman, Julieta; Ponce, Facundo</w:t>
      </w:r>
    </w:p>
    <w:p>
      <w:pPr>
        <w:ind w:left="0"/>
        <w:jc w:val="both"/>
      </w:pPr>
      <w:r>
        <w:t>Resumen del ciclo: 124 casos — 112 aprobados (4 con faltas menores), 9 no aprobados, 2 bloqueados y 1 N/A. Se registraron 13 defectos (Alto 4, Medio 6, Bajo 3); ninguno crítico. Los módulos de Envíos/17TRACK, Probador virtual, Indicadores y la validación de la negativa de ANSES se comportaron según lo especificado en todos sus casos.</w:t>
      </w:r>
    </w:p>
    <w:p>
      <w:pPr>
        <w:ind w:left="340" w:hanging="340"/>
        <w:jc w:val="both"/>
      </w:pPr>
      <w:r>
        <w:rPr>
          <w:b/>
        </w:rPr>
        <w:t xml:space="preserve">1.  </w:t>
      </w:r>
      <w:r>
        <w:t>Cuando el operador agenda un turno desde la ficha del solicitante, la pantalla informa «Se le envió la confirmación por email», pero el turno queda «Pendiente de pago» y no se envía ningún correo; como el staff no puede cargar el comprobante, ese turno no se puede aprobar ni registrar su asistencia (DM-BA-003). Es la observación de mayor impacto para la operatoria diaria.</w:t>
      </w:r>
    </w:p>
    <w:p>
      <w:pPr>
        <w:ind w:left="340" w:hanging="340"/>
        <w:jc w:val="both"/>
      </w:pPr>
      <w:r>
        <w:rPr>
          <w:b/>
        </w:rPr>
        <w:t xml:space="preserve">2.  </w:t>
      </w:r>
      <w:r>
        <w:t>La seguridad de la configuración inicial requiere atención: en una instalación nueva no se crea el administrador (DM-BA-001) y la contraseña del operador inicial está versionada en el código y se restablece en cada arranque (DM-BA-002). Se sugiere leer ambas credenciales de variables de entorno y no pisarlas si el usuario ya existe.</w:t>
      </w:r>
    </w:p>
    <w:p>
      <w:pPr>
        <w:ind w:left="340" w:hanging="340"/>
        <w:jc w:val="both"/>
      </w:pPr>
      <w:r>
        <w:rPr>
          <w:b/>
        </w:rPr>
        <w:t xml:space="preserve">3.  </w:t>
      </w:r>
      <w:r>
        <w:t>Con el set de funciones y roles provistos, el beneficiario ve el botón «Vender» en el catálogo (la API lo rechaza correctamente con 403) y el operador puede crear productos por API aunque la interfaz solo se lo permite al Administrador (SRS Apéndice C vs. RU-18). Conviene definir la regla y alinear interfaz y backend.</w:t>
      </w:r>
    </w:p>
    <w:p>
      <w:pPr>
        <w:ind w:left="340" w:hanging="340"/>
        <w:jc w:val="both"/>
      </w:pPr>
      <w:r>
        <w:rPr>
          <w:b/>
        </w:rPr>
        <w:t xml:space="preserve">4.  </w:t>
      </w:r>
      <w:r>
        <w:t>Faltan funcionalidades especificadas en el SRS: validación presencial del DNI (RF-06), algoritmo de match receta↔marco (RF-14), responsable de cada hito de la trazabilidad (RF-16 / RNF-09), catálogo público sin sesión (RF-28) y búsqueda en los listados de Solicitantes y Donantes (RF-08 / RF-12). Si alguna se descarta del PMV, actualizar el SRS.</w:t>
      </w:r>
    </w:p>
    <w:p>
      <w:pPr>
        <w:ind w:left="340" w:hanging="340"/>
        <w:jc w:val="both"/>
      </w:pPr>
      <w:r>
        <w:rPr>
          <w:b/>
        </w:rPr>
        <w:t xml:space="preserve">5.  </w:t>
      </w:r>
      <w:r>
        <w:t>La Agenda permite registrar «Asistió»/«Faltó» en turnos de fechas futuras (DM-BA-004); además, esas asistencias no aparecen en el Panel de impacto, que solo considera turnos hasta la fecha actual.</w:t>
      </w:r>
    </w:p>
    <w:p>
      <w:pPr>
        <w:ind w:left="340" w:hanging="340"/>
        <w:jc w:val="both"/>
      </w:pPr>
      <w:r>
        <w:rPr>
          <w:b/>
        </w:rPr>
        <w:t xml:space="preserve">6.  </w:t>
      </w:r>
      <w:r>
        <w:t>Los listados no tienen paginación ni búsqueda: con 300 solicitantes de carga la respuesta sigue siendo rápida (&lt; 1 s), pero ubicar un registro exige recorrer toda la tabla.</w:t>
      </w:r>
    </w:p>
    <w:p>
      <w:pPr>
        <w:ind w:left="340" w:hanging="340"/>
        <w:jc w:val="both"/>
      </w:pPr>
      <w:r>
        <w:rPr>
          <w:b/>
        </w:rPr>
        <w:t xml:space="preserve">7.  </w:t>
      </w:r>
      <w:r>
        <w:t>La foto del marco se recorta en el navegador con un modelo que se descarga de https://staticimgly.com: es una dependencia externa no documentada en la arquitectura y, sin acceso a esa CDN, no se pueden subir fotos de marcos desde la interfaz (TC-BA-RF13-05). Se sugiere servir el modelo desde el propio frontend, como ya se hace con MediaPipe.</w:t>
      </w:r>
    </w:p>
    <w:p>
      <w:pPr>
        <w:ind w:left="340" w:hanging="340"/>
        <w:jc w:val="both"/>
      </w:pPr>
      <w:r>
        <w:rPr>
          <w:b/>
        </w:rPr>
        <w:t xml:space="preserve">8.  </w:t>
      </w:r>
      <w:r>
        <w:t>El probador virtual no envía la foto a ningún servidor (RNF-04 cumplido), pero MediaPipe envía telemetría de uso a odml.pa.googleapis.com y la interfaz carga tipografías desde Google Fonts. Evaluar deshabilitar la telemetría o declararla en la política de privacidad (RNF-02).</w:t>
      </w:r>
    </w:p>
    <w:p>
      <w:pPr>
        <w:ind w:left="340" w:hanging="340"/>
        <w:jc w:val="both"/>
      </w:pPr>
      <w:r>
        <w:rPr>
          <w:b/>
        </w:rPr>
        <w:t xml:space="preserve">9.  </w:t>
      </w:r>
      <w:r>
        <w:t>Validaciones a unificar: el adjunto de la receta se valida solo por el tipo declarado (los comprobantes sí validan la firma de bytes, DM-BA-005); un identificador no numérico en la URL devuelve HTTP 500 en lugar de 400 (DM-BA-012); en la venta, el mensaje propio «Solo hay N en stock» no se ve porque el navegador bloquea antes con su globo nativo.</w:t>
      </w:r>
    </w:p>
    <w:p>
      <w:pPr>
        <w:ind w:left="340" w:hanging="340"/>
        <w:jc w:val="both"/>
      </w:pPr>
      <w:r>
        <w:rPr>
          <w:b/>
        </w:rPr>
        <w:t xml:space="preserve">10.  </w:t>
      </w:r>
      <w:r>
        <w:t>Detalles de interfaz: en el inventario, un marco con medidas parciales se muestra como «50 · ? · ?» (debería mostrar «—» en lo no informado). Positivo: los formularios muestran estados de proceso («Guardando…») y deshabilitan el botón mientras esperan la respuesta (RNF-05).</w:t>
      </w:r>
    </w:p>
    <w:p>
      <w:pPr>
        <w:ind w:left="340" w:hanging="340"/>
        <w:jc w:val="both"/>
      </w:pPr>
      <w:r>
        <w:rPr>
          <w:b/>
        </w:rPr>
        <w:t xml:space="preserve">11.  </w:t>
      </w:r>
      <w:r>
        <w:t>Documentación: RF-05 del SRS es contradictorio (rechazo automático vs. «no bloqueante») y RU-06 / RU-12 describen comportamientos distintos a los implementados (DM-BA-013, DM-BA-003). Mantener SRS y casos de uso reales alineados con el código.</w:t>
      </w:r>
    </w:p>
    <w:p>
      <w:pPr>
        <w:ind w:left="340" w:hanging="340"/>
        <w:jc w:val="both"/>
      </w:pPr>
      <w:r>
        <w:rPr>
          <w:b/>
        </w:rPr>
        <w:t xml:space="preserve">12.  </w:t>
      </w:r>
      <w:r>
        <w:t>Para el Ciclo 2: repetir los casos no aprobados y los relacionados con cada corrección (regresión), ejecutar TC-BA-RNF11-02 en Firefox, Edge y Safari, y agregar tests automatizados del backend que cubran los defectos corregidos.</w:t>
      </w:r>
    </w:p>
    <w:p>
      <w:pPr>
        <w:ind w:left="340" w:hanging="340"/>
        <w:jc w:val="both"/>
      </w:pPr>
      <w:r>
        <w:rPr>
          <w:b/>
        </w:rPr>
        <w:t xml:space="preserve">13.  </w:t>
      </w:r>
      <w:r>
        <w:t>Hay otras observaciones detalladas en los casos de prueba, incluso en los aprobados. Por favor tenerlas en cuenta para mejorar la calidad de la aplicación.</w:t>
      </w:r>
    </w:p>
    <w:p>
      <w:pPr>
        <w:pStyle w:val="Heading2"/>
      </w:pPr>
      <w:r>
        <w:t>Defectos registrados en el ciclo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195"/>
        <w:gridCol w:w="964"/>
        <w:gridCol w:w="1814"/>
        <w:gridCol w:w="1417"/>
      </w:tblGrid>
      <w:tr>
        <w:tc>
          <w:tcPr>
            <w:tcW w:type="dxa" w:w="1191"/>
            <w:shd w:val="clear" w:color="auto" w:fill="DCE6F1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4195"/>
            <w:shd w:val="clear" w:color="auto" w:fill="DCE6F1"/>
          </w:tcPr>
          <w:p>
            <w:r/>
            <w:r>
              <w:rPr>
                <w:b/>
                <w:sz w:val="16"/>
              </w:rPr>
              <w:t>Título</w:t>
            </w:r>
          </w:p>
        </w:tc>
        <w:tc>
          <w:tcPr>
            <w:tcW w:type="dxa" w:w="964"/>
            <w:shd w:val="clear" w:color="auto" w:fill="DCE6F1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1814"/>
            <w:shd w:val="clear" w:color="auto" w:fill="DCE6F1"/>
          </w:tcPr>
          <w:p>
            <w:r/>
            <w:r>
              <w:rPr>
                <w:b/>
                <w:sz w:val="16"/>
              </w:rPr>
              <w:t>Casos</w:t>
            </w:r>
          </w:p>
        </w:tc>
        <w:tc>
          <w:tcPr>
            <w:tcW w:type="dxa" w:w="1417"/>
            <w:shd w:val="clear" w:color="auto" w:fill="DCE6F1"/>
          </w:tcPr>
          <w:p>
            <w:r/>
            <w:r>
              <w:rPr>
                <w:b/>
                <w:sz w:val="16"/>
              </w:rPr>
              <w:t>Asignado a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DM-BA-001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En una instalación nueva no se crea el administrador inicial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TC-BA-RNF01-12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DM-BA-002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Contraseña del operador inicial versionada en el código y reseteada en cada arranque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TC-BA-RNF03-01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DM-BA-003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El turno agendado por el staff queda "Pendiente de pago" y no se notifica, aunque la pantalla dice que se envió el email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TC-BA-RF20-04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Ponce, Facundo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DM-BA-004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Se puede registrar "Asistió"/"Faltó" en turnos de fechas futuras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TC-BA-RF21-08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Ponce, Facundo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DM-BA-005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El adjunto de la receta se valida solo por el Content-Type declarado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TC-BA-RF07-06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DM-BA-006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está implementada la validación presencial del DNI (RF-06)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Alto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TC-BA-RF06-01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DM-BA-007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existe el algoritmo de match receta↔marco (RF-14)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TC-BA-RF14-01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DM-BA-008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La trazabilidad no registra el responsable de cada hito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TC-BA-RF16-04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DM-BA-009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El catálogo de anteojos de sol no es consultable sin iniciar sesión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TC-BA-RF28-02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Ocaranza, Javier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DM-BA-010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Los listados de Solicitantes y Donantes no tienen búsqueda ni filtros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Medio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TC-BA-RF08-04, TC-BA-RF12-02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Ocaranza, Javier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DM-BA-011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El beneficiario ve el botón "Vender" en el catálogo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Bajo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TC-BA-RNF01-11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Ocaranza, Javier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DM-BA-012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Un identificador no numérico en la URL devuelve HTTP 500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Bajo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TC-BA-RNF02-01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Ochoa, Ivan</w:t>
            </w:r>
          </w:p>
        </w:tc>
      </w:tr>
      <w:tr>
        <w:tc>
          <w:tcPr>
            <w:tcW w:type="dxa" w:w="1191"/>
          </w:tcPr>
          <w:p>
            <w:r/>
            <w:r>
              <w:rPr>
                <w:sz w:val="16"/>
              </w:rPr>
              <w:t>DM-BA-013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RF-05 del SRS es contradictorio sobre el rechazo de certificaciones vencidas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Bajo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TC-BA-RF05-01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Sleiman, Julieta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Proyecto Final UTN-FRT 2026 · T045 · Banco de Anteojos — Fundación Hacer Futuro · Página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Testing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