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</w:pPr>
    </w:p>
    <w:p>
      <w:pPr>
        <w:spacing w:after="200"/>
        <w:jc w:val="center"/>
      </w:pPr>
      <w:r>
        <w:rPr>
          <w:b/>
          <w:bCs/>
          <w:sz w:val="38"/>
          <w:szCs w:val="38"/>
        </w:rPr>
        <w:t xml:space="preserve">Casos de Uso Reales</w:t>
      </w:r>
    </w:p>
    <w:p>
      <w:pPr>
        <w:spacing w:after="100"/>
        <w:jc w:val="center"/>
      </w:pPr>
      <w:r>
        <w:rPr>
          <w:sz w:val="26"/>
          <w:szCs w:val="26"/>
        </w:rPr>
        <w:t xml:space="preserve">Diseño de interfaz gráfica — Sistema Banco de Anteojos</w:t>
      </w:r>
    </w:p>
    <w:p>
      <w:pPr>
        <w:spacing w:after="800"/>
        <w:jc w:val="center"/>
      </w:pPr>
      <w:r>
        <w:rPr>
          <w:i/>
          <w:iCs/>
          <w:sz w:val="20"/>
          <w:szCs w:val="20"/>
        </w:rPr>
        <w:t xml:space="preserve">Complementa el Modelo de Casos de Uso y los Mockups · Proyecto Final UTN-FRT 2026 · ID T045</w:t>
      </w:r>
    </w:p>
    <w:p>
      <w:r>
        <w:br w:type="page"/>
      </w:r>
    </w:p>
    <w:p>
      <w:pPr>
        <w:pStyle w:val="Heading1"/>
        <w:spacing w:after="180" w:before="420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/>
      </w:pPr>
      <w:r>
        <w:t xml:space="preserve">Concreta cada caso de uso del sistema contra una pantalla REAL del frontend implementado (docs/mockups/): reúne los datos del caso (actores, propósito, resumen, tipo, referencias cruzadas, pre/postcondiciones), la captura de la pantalla real con sus elementos interactivos marcados con una letra, y el diálogo actor↔sistema referenciando esas letras. Las capturas se generaron levantando el backend y el frontend de este repositorio contra datos de prueba reales, no son wireframes ni recreaciones.</w:t>
      </w:r>
    </w:p>
    <w:p>
      <w:pPr>
        <w:pStyle w:val="Heading1"/>
        <w:spacing w:after="180" w:before="420"/>
      </w:pPr>
      <w:r>
        <w:t xml:space="preserve">RU-01 — Iniciar sesión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RU-01 — Iniciar sesión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Operador, Administrador, Beneficiario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Autenticar al usuario contra el sistema para habilitar el resto de las funciones según su rol.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usuario ingresa correo y contraseña; el sistema valida las credenciales, emite un JWT y redirige al portal correspondiente a su rol.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RNF-01 (Autenticación y autorización)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usuario tiene una cuenta creada (ADMIN/OPERATOR dado de alta por bootstrap o por un administrador, o APPLICANT por autoregistro).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Sesión iniciada; el JWT queda en localStorage para las siguientes requests.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Inicio de sesión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usuario completa Correo electrónico (A).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Completa Contraseña (B).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Hace clic en Iniciar sesión (C).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 El sistema valida las credenciales y redirige a /solicitante, /operador o /admin según el rol del token.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5. (Opcional) El beneficiario sin cuenta hace clic en "Registrate acá" (D).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6. El sistema muestra el formulario de autoregistro (RU-02).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3a. Credenciales inválidas: el sistema muestra el mensaje de error de la API sin redirigir.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RU-02 — Registrarse como beneficiario (autogestión)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RU-02 — Registrarse como beneficiario (autogestión)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Beneficiario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Permitir que una persona sin cuenta se dé de alta como solicitante y obtenga acceso al portal de autogestión, sin pasar por un operador.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visitante completa sus datos personales y una contraseña; el sistema crea el Applicant (con identityValidated = false, igual que si lo cargara un operador) y el User de login en un solo paso, y devuelve sesión iniciada.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RF-01 (Registrar solicitante); RNF-01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DNI no pertenece ya a un solicitante registrado.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Solicitante y cuenta creados; sesión iniciada; redirige a /solicitante.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Registro de solicitante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686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68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visitante completa Nombre, Apellido, DNI (B), fecha de nacimiento y teléfono (opcionales).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Completa Correo electrónico (C) y Contraseña (D, mínimo 8 caracteres).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Hace clic en "Registrarme como beneficiario" (E).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 El sistema crea el solicitante y su cuenta, inicia sesión automáticamente y redirige a /solicitante.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4a. El DNI ya está registrado: el sistema rechaza el alta con un mensaje de error.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RU-03 — Gestionar solicitantes (listado)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RU-03 — Gestionar solicitantes (listado)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Operador, Administrador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Ubicar un solicitante existente o iniciar el alta de uno nuevo, y navegar a sus datos de elegibilidad.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visualiza el listado completo de solicitantes con su estado de identidad, y navega desde cada fila a Recetas, ANSES, Asignar marco, Turno o Editar.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RF-08 (Consultar, editar y listar solicitantes)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inició sesión (RU-01).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navega al solicitante y a la sección elegida.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Solicitantes — Listado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operador entra a "Solicitantes" desde el menú.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El sistema muestra la tabla completa: Apellido y nombre, DNI, Nacimiento, Contacto, Identidad (badge Validada/Pendiente, B).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(Alternativa) Hace clic en "Nuevo solicitante" (A).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abre el formulario de alta (mismo formulario que RU-04, vacío y con DNI editable).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 Hace clic en Recetas (C), ANSES (D), Asignar marco (E) o Turno (F) sobre una fila.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navega a la sección elegida para ese solicitante (RU-05, RU-06, RU-09, RU-11).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5. Hace clic en Editar (G).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navega a RU-04.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El listado no tiene buscador ni filtro por estado en la implementación actual: siempre muestra todos los solicitantes.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RU-04 — Editar datos personales del solicitante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RU-04 — Editar datos personales del solicitante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Operador, Administrador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Registrar o corregir los datos personales de un solicitante.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edita nombre, apellido, DNI (solo en el alta), fecha de nacimiento, teléfono y email de un solicitante.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RF-01 (Registrar solicitante), RF-08 (editar)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Solicitante nuevo (desde RU-03, "Nuevo solicitante") o existente (desde RU-03, "Editar").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Datos personales actualizados.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Solicitante — Editar datos personales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operador completa/corrige Nombre (A), Apellido (B), DNI (C, solo editable en el alta), Teléfono (D) y Email (E).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Hace clic en "Guardar cambios" (F).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El sistema guarda los datos y vuelve al listado (RU-03).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2a. DNI duplicado (solo en el alta): el sistema rechaza el guardado con un mensaje de error.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Nota de fidelidad: esta pantalla es la totalidad de "gestionar la ficha del solicitante" en el frontend actual — no existe ningún control de validación de identidad (RENAPER ni presencial). El campo identityValidated del modelo de datos permanece en false para todo solicitante: no hay endpoint ni botón que lo cambie. RF-02 y RF-06 están especificados en el SRS pero no implementados en el código actual.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RU-05 — Gestionar recetas del solicitante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RU-05 — Gestionar recetas del solicitante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Operador, Administrador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Registrar la graduación oftalmológica del solicitante, usada luego para el match con marcos.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ve el historial de recetas cargadas y agrega una nueva con los valores de esfera/cilindro/eje por ojo, adjuntando opcionalmente el archivo de la receta del médico.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RF-07 (Registrar receta médica)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Solicitante existente (desde RU-03, "Recetas").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Receta creada, disponible para el match de asignación (RU-09).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Solicitante — Recetas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28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28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operador consulta el historial (A): fecha de carga, Ojo derecho, Ojo izquierdo y archivo de la receta del médico.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En "Nueva receta", completa Esfera (B), Cilindro y Eje para OD y OI (todos opcionales).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(Opcional) Adjunta el archivo de la receta del médico (C).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 Hace clic en "Registrar receta" (D).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5. El sistema guarda la graduación primero; si hay archivo, lo sube aparte — si la subida falla, la receta queda igual creada y el operador puede reintentar el adjunto desde el historial.</w:t>
            </w:r>
          </w:p>
        </w:tc>
      </w:tr>
    </w:tbl>
    <w:p>
      <w:pPr>
        <w:spacing w:after="200"/>
      </w:pPr>
    </w:p>
    <w:p>
      <w:pPr>
        <w:pStyle w:val="Heading1"/>
        <w:spacing w:after="180" w:before="420"/>
      </w:pPr>
      <w:r>
        <w:t xml:space="preserve">RU-06 — Cargar certificación negativa de ANSES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RU-06 — Cargar certificación negativa de ANSES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Operador, Administrador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Registrar la certificación negativa de ANSES del solicitante y verificar automáticamente su validez.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sube el PDF de la certificación; el sistema decodifica el código de barras, extrae CUIL y fecha de emisión, y muestra si acredita elegibilidad o si hay una advertencia (CUIL no coincide o vencida) que el operador puede igualmente pasar por alto.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RF-03 (Carga de PDF), RF-04 (Verificación de CUIL), RF-05 (Verificación de vigencia)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Solicitante existente (desde RU-03, "ANSES").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Certificación cargada y verificada; el solicitante queda (o no) marcado como elegible para el match (RU-09).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Solicitante — Certificación ANSES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05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05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05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05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operador hace clic en "Subir la certificación" (o "Reemplazar", D, si ya hay una cargada) y selecciona el PDF.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El sistema lee el código de barras, guarda CUIL (A), N° de transacción, fecha de emisión y vigencia (B, "Vence en N días" / "Vencida hace N días"), y muestra el archivo (C, con nombre real, ej. certificado_anses.pdf).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El sistema muestra el resultado de elegibilidad: mensaje verde ("Acredita que no tiene cobertura médica") si está vigente, o un aviso ámbar si no, aclarando que la decisión final es del operador.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2a. El PDF no es legible o el código de barras no se reconoce: el sistema no guarda nada y pide reintentar la carga.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RU-07 — Registrar donante y marcos donados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RU-07 — Registrar donante y marcos donados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Operador, Administrador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Dar de alta un donante e ingresar al inventario los marcos que dona.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ubica o crea un donante y, desde su ficha, carga cada marco recibido con su precinto, tipo, material y medidas; el marco entra al inventario general.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RF-09, RF-10, RF-11, RF-12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inició sesión.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 marcos quedan disponibles en el inventario (RU-08), vinculados al donante.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Donantes — Listado, Donante — Marcos donados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914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91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(Alternativa) El operador hace clic en "Nuevo donante" (A) y carga nombre, tipo, documento y contacto.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Hace clic en "Marcos donados" (B) sobre un donante.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muestra los marcos ya recibidos de ese donante, con su Estado (fila 1, C) y una miniatura o "Sin foto / Subir".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El operador completa Número de precinto (D), tipo de armazón, material y medidas opcionales.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 Hace clic en "Agregar marco" (E).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5. El sistema crea el marco en estado AVAILABLE ("Disponible") y vacía el formulario para cargar el siguiente.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4a. Precinto duplicado: el sistema rechaza la carga con un mensaje de error.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RU-08 — Consultar inventario de marcos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RU-08 — Consultar inventario de marcos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Operador, Administrador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Ubicar rápidamente un marco o revisar el estado de cualquier marco del inventario.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consulta la lista completa de marcos de todos los donantes, filtra por estado, y desde ahí edita, da de baja o sube la foto de un marco disponible.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RF-13 (Inventario en tiempo real)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Existen marcos cargados (RU-07).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ubica el marco que necesita para una asignación (RU-09).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Inventario de marcos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000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00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operador filtra por Estado (A: Disponible / En la óptica / Listo para entregar / Entregado / Fuera de circulación).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El sistema filtra la tabla, mostrando también el donante de cada marco (columna con link a RU-07).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Sobre un marco Disponible, hace clic en Editar o "Dar de baja" (D).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permite corregir sus datos o descontinuarlo. Un marco ya asignado/entregado no ofrece estas acciones (columna "—").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 Hace clic en "Subir" (E) bajo "Sin foto".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sube la imagen del marco (usada luego por el probador virtual, RU-16).</w:t>
            </w:r>
          </w:p>
        </w:tc>
      </w:tr>
    </w:tbl>
    <w:p>
      <w:pPr>
        <w:spacing w:after="200"/>
      </w:pPr>
    </w:p>
    <w:p>
      <w:pPr>
        <w:pStyle w:val="Heading1"/>
        <w:spacing w:after="180" w:before="420"/>
      </w:pPr>
      <w:r>
        <w:t xml:space="preserve">RU-09 — Asignar un marco a un beneficiario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RU-09 — Asignar un marco a un beneficiario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Operador, Administrador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Elegir un marco disponible y una receta del beneficiario, y comenzar el circuito de armado.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consulta la cola de asignaciones en curso y, desde la ficha del solicitante, elige una receta y un marco disponible para crear una nueva asignación.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RF-14 (Match receta↔marco — selección manual en la UI actual), RF-15 (Asignar marco)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solicitante tiene al menos una receta cargada (RU-05) y hay marcos disponibles (RU-08).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Asignación creada, visible en la trazabilidad (RU-10); el marco queda ASSIGNED.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Asignaciones — Cola, Asignar un marco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257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25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operador filtra la cola con Mostrar (A: En curso / Todas).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El sistema muestra beneficiario, marco, estado (B, badge) y el paso siguiente disponible para cada asignación en curso.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Desde la ficha del solicitante (RU-03, "Asignar marco"), el operador elige una Receta (A) y un Marco disponible (B).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 Hace clic en "Asignar marco" (C).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5. El sistema crea la asignación (queda ASSIGNED) y descuenta el marco del inventario disponible.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Sin recetas o sin marcos disponibles: el formulario no se muestra; en su lugar hay un enlace a "Cargá la receta primero" o "Cargá los marcos de una donación".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RU-10 — Consultar trazabilidad de una asignación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RU-10 — Consultar trazabilidad de una asignación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Operador, Administrador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Conocer en qué etapa del circuito está un par de anteojos y avanzarlo al siguiente hito.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sistema muestra el recorrido completo de la asignación (asignado → enviado a la óptica → volvió con los cristales → entregado) junto con los datos del beneficiario, el marco y el donante, y permite registrar el siguiente hito o cancelarla.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RF-16 (Trazabilidad end-to-end)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Existe una asignación (RU-09).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circuito avanza al siguiente hito, o la asignación se cancela.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Asignación — Detalle y trazabilidad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60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60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operador abre una asignación desde la cola (RU-09).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El sistema muestra el recorrido (C: "Enviado a la óptica con la receta" y los hitos pendientes en gris) junto con los datos de Beneficiario, Marco y Donante.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Hace clic en el botón de acción del hito siguiente (A, p. ej. "Registrar retorno").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 El sistema avanza la asignación al siguiente hito.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5. (Alternativa) Hace clic en Cancelar (B).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cancela la asignación y libera el marco de vuelta a disponible.</w:t>
            </w:r>
          </w:p>
        </w:tc>
      </w:tr>
    </w:tbl>
    <w:p>
      <w:pPr>
        <w:spacing w:after="200"/>
      </w:pPr>
    </w:p>
    <w:p>
      <w:pPr>
        <w:pStyle w:val="Heading1"/>
        <w:spacing w:after="180" w:before="420"/>
      </w:pPr>
      <w:r>
        <w:t xml:space="preserve">RU-11 — Gestionar turnos (agenda del staff)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RU-11 — Gestionar turnos (agenda del staff)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Operador, Administrador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Registrar turnos, revisar y aprobar el comprobante del bono contribución de la autogestión, reprogramar o cancelar turnos, y registrar la asistencia del día.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consulta la agenda completa de turnos, filtrada por día o "Todos", y desde cada fila aprueba/cancela un turno pendiente de revisión, o registra asistencia/reprogramación/cancelación de un turno ya aceptado.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RF-20, RF-21, RF-22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solicitante existe.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turno queda actualizado; los cambios de estado disparan la notificación correspondiente.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Turnos — Agenda del staff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operador cambia Mostrar a "Todos" (por defecto solo se ve el día de hoy).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El sistema lista fecha y hora, beneficiario, motivo (Atención general o "Retiro de anteojos" con link a la asignación) y estado de cada turno.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Para un turno Pendiente de revisión (A), el operador abre el comprobante con "Ver comprobante" (C) y lo revisa.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 Hace clic en "Aprobar" (B).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pasa el turno a SCHEDULED ("Aceptado") y dispara la notificación de confirmación.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5. (Alternativa) Hace clic en Cancelar junto al turno pendiente de revisión.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lo pasa a CANCELLED y notifica.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6. Para un turno Aceptado, hace clic en "Asistió" (D) o "Faltó" el día del turno.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registra la asistencia (COMPLETED/MISSED), estado final para el panel de indicadores.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7. (Alternativa) Hace clic en "Reprogramar" (E) y elige nueva fecha/hora.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actualiza el turno, que permanece SCHEDULED, y notifica el cambio.</w:t>
            </w:r>
          </w:p>
        </w:tc>
      </w:tr>
    </w:tbl>
    <w:p>
      <w:pPr>
        <w:spacing w:after="200"/>
      </w:pPr>
    </w:p>
    <w:p>
      <w:pPr>
        <w:pStyle w:val="Heading1"/>
        <w:spacing w:after="180" w:before="420"/>
      </w:pPr>
      <w:r>
        <w:t xml:space="preserve">RU-12 — Agendar un turno (staff)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RU-12 — Agendar un turno (staff)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Operador, Administrador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Registrar un turno presencialmente para un solicitante, ya SCHEDULED (sin el paso de pago de la autogestión).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elige fecha y hora, opcionalmente asociando el turno a una asignación en curso si es un retiro de anteojos.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RF-20 (Registrar turnos)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solicitante existe (desde RU-03, "Turno").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Turno creado en estado SCHEDULED; si el beneficiario tiene email, se le notifica.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Agendar un turno (staff)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305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30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operador consulta los turnos anteriores del solicitante (badges de estado real: Aceptado/Asistió/Cancelado).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Completa Fecha y hora (A) y, si corresponde, elige la asignación de retiro.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Hace clic en "Agendar turno" (B).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 El sistema crea el turno directamente SCHEDULED y confirma si se envió el email al beneficiario.</w:t>
            </w:r>
          </w:p>
        </w:tc>
      </w:tr>
    </w:tbl>
    <w:p>
      <w:pPr>
        <w:spacing w:after="200"/>
      </w:pPr>
    </w:p>
    <w:p>
      <w:pPr>
        <w:pStyle w:val="Heading1"/>
        <w:spacing w:after="180" w:before="420"/>
      </w:pPr>
      <w:r>
        <w:t xml:space="preserve">RU-13 — Autogestión: pedir turno y cargar el comprobante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RU-13 — Autogestión: pedir turno y cargar el comprobante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Beneficiario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Permitir que el beneficiario saque su turno sin asistir presencialmente y cargue el comprobante del bono contribución para que un operador lo revise.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beneficiario elige una fecha; el turno nace PENDING_PAYMENT y, en cuanto sube el comprobante, pasa a PENDING_REVIEW — recién queda SCHEDULED cuando un operador lo aprueba (RU-11).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RF-20, RF-21 (revisión); RNF-01 (rol APPLICANT)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beneficiario tiene una cuenta y sesión iniciada.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Turno pendiente de pago, de revisión, o aceptado (según el paso alcanzado), visible en la agenda del staff (RU-11).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Autogestión — Mis turnos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beneficiario completa Fecha y hora (A) en "Pedir un turno".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Hace clic en "Agendar turno" (B).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El sistema crea el turno en PENDING_PAYMENT y lo agrega a "Mis turnos" (C) con ese estado.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 El sistema muestra, bajo el turno pendiente de pago, los datos de la cuenta para transferir el bono contribución y el botón para subir el comprobante.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5. El beneficiario sube el comprobante.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6. El sistema valida el archivo y pasa el turno a "Pendiente de revisión" — todavía no se notifica ni queda confirmado.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7. (Cuando un operador aprueba en RU-11)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turno pasa a "Aceptado" y el sistema notifica la confirmación.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5a. El beneficiario no sube comprobante: el turno permanece "Pendiente de pago" indefinidamente.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6a. El archivo no es válido: el sistema rechaza la carga y el beneficiario puede reintentarla.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RU-14 — Autogestión: estado de mi marco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RU-14 — Autogestión: estado de mi marco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Beneficiario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Permitir que el beneficiario siga el recorrido de sus anteojos sin llamar a la fundación.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sistema muestra, de solo lectura, el mismo recorrido que ve el operador (RU-10) para cada asignación del beneficiario logueado.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RF-16 (Trazabilidad end-to-end)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beneficiario tiene sesión iniciada.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Ninguna (consulta de solo lectura; el circuito se mueve desde RU-10, no desde acá).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Autogestión — Estado de mi marco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beneficiario entra a "Estado de mi Marco".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El sistema muestra cada asignación propia con su estado (A, p. ej. "Entregado") y el detalle del recorrido (B: Marco asignado → Enviado a la óptica con la receta → Volvió de la óptica con los cristales → Entregado al beneficiario), cada hito con su fecha.</w:t>
            </w:r>
          </w:p>
        </w:tc>
      </w:tr>
    </w:tbl>
    <w:p>
      <w:pPr>
        <w:spacing w:after="200"/>
      </w:pPr>
    </w:p>
    <w:p>
      <w:pPr>
        <w:pStyle w:val="Heading1"/>
        <w:spacing w:after="180" w:before="420"/>
      </w:pPr>
      <w:r>
        <w:t xml:space="preserve">RU-15 — Gestionar envíos entre sucursales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RU-15 — Gestionar envíos entre sucursales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Operador, Administrador; 17TRACK como sistema externo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Trazar el traslado de marcos entre sucursales de punta a punta.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arma un paquete con los marcos a trasladar (queda PENDING), lo despacha cargando el número de seguimiento de Vía Cargo (queda registrado en 17TRACK), y el estado se actualiza automáticamente por webhook a partir de ahí.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RF-23, RF-24, RF-25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Hay marcos que trasladar entre sucursales.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envío queda trazado punta a punta entre sucursales.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Envíos — Listado, Envío — Detalle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133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13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operador hace clic en "Armar paquete" (A) y elige origen, destino y los marcos a enviar.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El sistema crea el envío en PENDING, sin número de seguimiento todavía.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Sobre un envío pendiente, hace clic en "Despachar" (B) y carga el número de Vía Cargo.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 El sistema lo registra en 17TRACK y pasa a REGISTERED/IN_TRANSIT.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5. El operador abre el detalle de un envío y consulta el recorrido (A: "Despachado y registrado en el seguimiento") y el historial del correo (B: eventos crudos de 17TRACK, p. ej. IN_TRANSIT).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6. El estado se actualiza automáticamente por el webhook de 17TRACK, sin acción del operador.</w:t>
            </w:r>
          </w:p>
        </w:tc>
      </w:tr>
    </w:tbl>
    <w:p>
      <w:pPr>
        <w:spacing w:after="200"/>
      </w:pPr>
    </w:p>
    <w:p>
      <w:pPr>
        <w:pStyle w:val="Heading1"/>
        <w:spacing w:after="180" w:before="420"/>
      </w:pPr>
      <w:r>
        <w:t xml:space="preserve">RU-16 — Usar el probador virtual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RU-16 — Usar el probador virtual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Beneficiario, Operador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Previsualizar cómo le quedarían al beneficiario los marcos disponibles con foto, antes de asignarle uno.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usuario toma o sube una foto; MediaPipe Face Mesh detecta el rostro (todo el procesamiento ocurre en el propio navegador, la foto nunca se sube a ningún servidor — RNF-02) y el sistema superpone en 2D el marco elegido, con ajuste manual de tamaño, altura y rotación.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RF-17, RF-18, RF-19; RNF-04 (Compatibilidad con gama baja)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Hay al menos un marco disponible con foto cargada (RU-08).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Ninguna (previsualización, no persiste datos).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Probador virtual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usuario hace clic en "Sacar una foto" o "Elegir un archivo".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El sistema detecta el rostro en el propio navegador.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Elige un marco de "Marcos con foto" (solo aparecen los disponibles que ya tienen imagen cargada).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 El sistema superpone el marco en 2D sobre la foto y habilita el ajuste de Tamaño, Altura y Rotación.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2a. El detector de rostros no pudo cargar (dispositivo o red): el sistema muestra "El probador no está disponible en este dispositivo" sin romper el resto de la aplicación — es exactamente el estado capturado arriba, observado en el entorno de prueba.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2b. No se detecta ningún rostro en la foto: el sistema pide subir otra foto, de frente y con buena luz.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RU-17 — Catálogo: consultar y vender (staff)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RU-17 — Catálogo: consultar y vender (staff)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Operador, Administrador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Registrar la venta de un producto del catálogo de sol con descuento de stock.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ve el catálogo (activos o todos) y, sobre un producto con stock, abre el formulario de venta en la misma fila.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RF-29 (Registrar venta con descuento de stock)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Hay al menos un producto activo con stock.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Venta registrada; stock descontado.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Catálogo de venta (staff)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operador filtra "Mostrar" (Activos/Todos) y ubica un producto con stock disponible.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Hace clic en "Vender" (A).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El sistema despliega el formulario de venta en la misma fila (cantidad y comprador).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 El operador confirma la venta.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5. El sistema descuenta el stock y registra la venta en el historial (RU-18).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5a. Stock insuficiente al momento de confirmar: el sistema rechaza la venta con un mensaje y no descuenta stock.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RU-18 — Catálogo: gestionar productos (admin)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RU-18 — Catálogo: gestionar productos (admin)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Mantener actualizado el catálogo de anteojos de sol: alta, edición, foto y baja de productos.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administrador crea o edita un producto (nombre, descripción, precio, stock), le sube una foto, consulta su historial de ventas y puede darlo de baja de forma permanente.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RF-30 (Gestionar stock del catálogo)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Sesión de ADMIN — el Operador ve el catálogo pero no "Nuevo producto" ni "Editar".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Catálogo actualizado.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Catálogo — Gestión (admin)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560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560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(Alternativa) El administrador hace clic en "Nuevo producto" (A) y carga nombre, descripción, precio y stock.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Hace clic en Editar (B) sobre un producto existente.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abre su ficha con Precio/Stock editables (A) y el historial de ventas (C) de ese producto.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3. Corrige los datos y hace clic en "Guardar cambios".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actualiza el producto.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 (Opcional) Hace clic en "Subir una foto" (B).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guarda la imagen, visible luego en el catálogo público y en el del beneficiario.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5. (Alternativa) Hace clic en "Dar de baja" (D).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lo pasa a DISCONTINUED de forma permanente ("no se puede volver a activar", según el propio aviso de la pantalla) — no borra su historial de ventas ni desaparece del historial, solo deja de listarse como activo.</w:t>
            </w:r>
          </w:p>
        </w:tc>
      </w:tr>
    </w:tbl>
    <w:p>
      <w:pPr>
        <w:spacing w:after="200"/>
      </w:pPr>
    </w:p>
    <w:p>
      <w:pPr>
        <w:pStyle w:val="Heading1"/>
        <w:spacing w:after="180" w:before="420"/>
      </w:pPr>
      <w:r>
        <w:t xml:space="preserve">RU-19 — Catálogo: vista del beneficiario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RU-19 — Catálogo: vista del beneficiario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Beneficiario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Propósito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Permitir que un beneficiario autenticado vea el catálogo de anteojos de sol desde su propio portal.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Resumen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sistema muestra el mismo listado de productos activos que ve el staff, con precio y stock.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Secundario y real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Referencias cruzadas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RF-28 (Catálogo digital de anteojos de sol)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beneficiario tiene sesión iniciada.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Postcondiciones</w:t>
            </w:r>
          </w:p>
        </w:tc>
        <w:tc>
          <w:tcPr>
            <w:tcW w:type="dxa" w:w="7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Ninguna (consulta).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Pantalla: Autogestión — Catálogo de sol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Diálogo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Acción de los actores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Respuesta del sistema</w:t>
            </w:r>
          </w:p>
        </w:tc>
      </w:tr>
      <w:tr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El beneficiario entra a "Catálogo de Sol" desde su portal.</w:t>
            </w:r>
          </w:p>
        </w:tc>
        <w:tc>
          <w:tcPr>
            <w:tcW w:type="dxa" w:w="504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 El sistema muestra los productos activos con precio y stock, igual que en la vista del staff.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Inconsistencia de permisos detectada: el componente de listado es el mismo para todos los roles y no oculta el botón "Vender" (A) para un Beneficiario, aunque el backend rechaza con 403 cualquier intento de venta que no venga de ADMIN u OPERATOR (SecurityConfig solo habilita GET /v1/catalog/products para APPLICANT). El botón queda visible pero inoperante para este rol.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Notas de trazabilidad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Cada RU referencia su(s) RF/RNF del SRS y su mockup real en docs/mockups/; cualquier cambio de campo, botón o ruta en el frontend debe reflejarse acá y en las capturas anotadas.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Las letras que marcan cada captura identifican un control o dato concreto de la pantalla real (resuelto contra el DOM en vivo, no dibujado a mano), y se referencian igual en ambas columnas del diálogo.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Dos brechas de implementación quedaron documentadas explícitamente porque afectan directamente el diseño de interfaz: la validación de identidad (RF-02/RF-06, sin UI ni endpoint) en RU-04, y la inconsistencia de permisos del botón "Vender" en RU-19.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Las validaciones "no bloqueantes, a criterio del operador" (vigencia ANSES) son decisiones de diseño explícitas del SRS (RF-05), no omisiones.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Casos de Uso Reales — Banco de Anteojos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db8e26a47dd1cd80e082e99d0e7a959dc81aa57.png"/><Relationship Id="rId10" Type="http://schemas.openxmlformats.org/officeDocument/2006/relationships/image" Target="media/121e6a87bc03fe1dc6e36f2d89b1bd56c0d1c096.png"/><Relationship Id="rId11" Type="http://schemas.openxmlformats.org/officeDocument/2006/relationships/image" Target="media/044a1ce02fe0b29bd9231ea041e24ebf66c78026.png"/><Relationship Id="rId12" Type="http://schemas.openxmlformats.org/officeDocument/2006/relationships/image" Target="media/c873e70343341ca6c5043deba4fdcb7ae3e4c056.png"/><Relationship Id="rId13" Type="http://schemas.openxmlformats.org/officeDocument/2006/relationships/image" Target="media/4d6e8e72ab7d883e734f01159b1bc3201e47a382.png"/><Relationship Id="rId14" Type="http://schemas.openxmlformats.org/officeDocument/2006/relationships/image" Target="media/a23ab097872fd3c69a95a74a248956224c77a715.png"/><Relationship Id="rId15" Type="http://schemas.openxmlformats.org/officeDocument/2006/relationships/image" Target="media/a32f8f2f8f5c1c9fa7d363f5826f374251ca0b60.png"/><Relationship Id="rId16" Type="http://schemas.openxmlformats.org/officeDocument/2006/relationships/image" Target="media/0070c776e1fad3d93a1c5b0d3e2285bba0678477.png"/><Relationship Id="rId17" Type="http://schemas.openxmlformats.org/officeDocument/2006/relationships/image" Target="media/c1583c235049f6810ea063a01303d669301aea1f.png"/><Relationship Id="rId18" Type="http://schemas.openxmlformats.org/officeDocument/2006/relationships/image" Target="media/bfac350bcc1a65ad9dc42f3a5cad7b524f10c80b.png"/><Relationship Id="rId19" Type="http://schemas.openxmlformats.org/officeDocument/2006/relationships/image" Target="media/2ddd1bae79be0ad2b4b24239378e5b67d0b7b813.png"/><Relationship Id="rId20" Type="http://schemas.openxmlformats.org/officeDocument/2006/relationships/image" Target="media/d7a6c00671a5cdc39976129753463b26c96d47d9.png"/><Relationship Id="rId21" Type="http://schemas.openxmlformats.org/officeDocument/2006/relationships/image" Target="media/92ae24e569da4bd0428f69ebe4e34c5c6097c3ee.png"/><Relationship Id="rId22" Type="http://schemas.openxmlformats.org/officeDocument/2006/relationships/image" Target="media/1737020963213c8431642df2166b740956a3dfe7.png"/><Relationship Id="rId23" Type="http://schemas.openxmlformats.org/officeDocument/2006/relationships/image" Target="media/e07d3886288ac82c3ef9a9a67e759b15c1c0223d.png"/><Relationship Id="rId24" Type="http://schemas.openxmlformats.org/officeDocument/2006/relationships/image" Target="media/162985d3ef8d8ffdc53e86bc8eeba4ae3d1e55d6.png"/><Relationship Id="rId25" Type="http://schemas.openxmlformats.org/officeDocument/2006/relationships/image" Target="media/2c3cb20138dce672329f97cd850a66fdff8b903d.png"/><Relationship Id="rId26" Type="http://schemas.openxmlformats.org/officeDocument/2006/relationships/image" Target="media/405f6f72b86d867cabc6e60b7c869578b5c16b62.png"/><Relationship Id="rId27" Type="http://schemas.openxmlformats.org/officeDocument/2006/relationships/image" Target="media/30b2ca3343fb5eb3735b79232363450088f9ddea.png"/><Relationship Id="rId28" Type="http://schemas.openxmlformats.org/officeDocument/2006/relationships/image" Target="media/0c38faa7685e05b2ac95cc11dd2fbaac724850c3.png"/><Relationship Id="rId29" Type="http://schemas.openxmlformats.org/officeDocument/2006/relationships/image" Target="media/7ffdc7fd73b09bffe417357c30b71652409cc87f.png"/><Relationship Id="rId30" Type="http://schemas.openxmlformats.org/officeDocument/2006/relationships/image" Target="media/9b4ae79ccc8dcd0a4a8f53f0b214ea4e9fd6f502.png"/><Relationship Id="rId31" Type="http://schemas.openxmlformats.org/officeDocument/2006/relationships/image" Target="media/551eb10722376abf40037cb160f396a078c7b0d7.png"/><Relationship Id="rId32" Type="http://schemas.openxmlformats.org/officeDocument/2006/relationships/image" Target="media/d5203a52d1299aafe30f9293d6693f13c5b0f7a5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2026-09-27T22:39:16.570Z</dcterms:created>
  <dcterms:modified xsi:type="dcterms:W3CDTF">2026-09-27T22:39:16.570Z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