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b/>
          <w:bCs/>
          <w:sz w:val="38"/>
          <w:szCs w:val="38"/>
        </w:rPr>
        <w:t xml:space="preserve">Modelo de Base de Datos</w:t>
      </w:r>
    </w:p>
    <w:p>
      <w:pPr>
        <w:spacing w:after="100"/>
        <w:jc w:val="center"/>
      </w:pPr>
      <w:r>
        <w:rPr>
          <w:sz w:val="26"/>
          <w:szCs w:val="26"/>
        </w:rPr>
        <w:t xml:space="preserve">Sistema Banco de Anteojos — Fundación Hacer Futuro</w:t>
      </w:r>
    </w:p>
    <w:p>
      <w:pPr>
        <w:spacing w:after="800"/>
        <w:jc w:val="center"/>
      </w:pPr>
      <w:r>
        <w:rPr>
          <w:i/>
          <w:iCs/>
          <w:sz w:val="20"/>
          <w:szCs w:val="20"/>
        </w:rPr>
        <w:t xml:space="preserve">PostgreSQL / Flyway · Proyecto Final UTN-FRT 2026 · ID T045</w:t>
      </w:r>
    </w:p>
    <w:p>
      <w:r>
        <w:br w:type="page"/>
      </w:r>
    </w:p>
    <w:p>
      <w:pPr>
        <w:pStyle w:val="Heading1"/>
        <w:spacing w:after="180" w:before="42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/>
      </w:pPr>
      <w:r>
        <w:t xml:space="preserve">Modelo físico relacional (PostgreSQL), reconstruido a partir de las migraciones Flyway (backend/src/main/resources/db/migration/V1 a V16; V15 solo carga un usuario semilla, no altera el schema), que son la única fuente de verdad del schema (Hibernate corre en modo none). A diferencia de la Vista Lógica del Documento de Arquitectura —que modela conceptos de dominio—, este documento describe las tablas, columnas, tipos y restricciones reales tal como existen en la base.</w:t>
      </w:r>
    </w:p>
    <w:p>
      <w:pPr>
        <w:pStyle w:val="Heading1"/>
        <w:spacing w:after="180" w:before="420"/>
      </w:pPr>
      <w:r>
        <w:t xml:space="preserve">1. Convenciones del schema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snake_case; tablas en plural, columnas en singular.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Toda PK se llama id (BIGSERIAL); toda FK &lt;entidad&gt;_id.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Timestamps de instante en _at (TIMESTAMP WITHOUT TIME ZONE); fechas puras en _date (DATE).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Booleanos con prefijo is_/tal cual (identity_validated), NOT NULL + DEFAULT coherente.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Estados como VARCHAR(n) con CHECK explícito — excepto shipment_events.status, que guarda el valor crudo del carrier sin restricción.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Ningún binario se persiste en la base: PDFs e imágenes van a Cloudflare R2; las tablas guardan la key del objeto, nunca una URL.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Las migraciones son append-only: un cambio de schema siempre es una migración nueva, nunca se edita una ya aplicada.</w:t>
      </w:r>
    </w:p>
    <w:p>
      <w:pPr>
        <w:pStyle w:val="Heading1"/>
        <w:spacing w:after="180" w:before="420"/>
      </w:pPr>
      <w:r>
        <w:t xml:space="preserve">2. Diagrama</w:t>
      </w:r>
    </w:p>
    <w:p>
      <w:pPr>
        <w:spacing w:after="140"/>
      </w:pPr>
      <w:r>
        <w:rPr>
          <w:i/>
          <w:iCs/>
        </w:rPr>
        <w:t xml:space="preserve">Las 13 tablas del esquema en un único diagrama.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2699099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269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rPr>
          <w:i/>
          <w:iCs/>
        </w:rPr>
        <w:t xml:space="preserve">El diagrama muestra columnas clave (PK/FK/UNIQUE + atributos distintivos) para que se lea de un vistazo. El detalle completo de cada tabla está en el diccionario de datos (sección 3).</w:t>
      </w:r>
    </w:p>
    <w:p>
      <w:pPr>
        <w:spacing w:after="140"/>
      </w:pPr>
      <w:r>
        <w:rPr>
          <w:b/>
          <w:bCs/>
          <w:i/>
          <w:iCs/>
        </w:rPr>
        <w:t xml:space="preserve">Nota de idioma: </w:t>
      </w:r>
      <w:r>
        <w:rPr>
          <w:i/>
          <w:iCs/>
        </w:rPr>
        <w:t xml:space="preserve">los nombres de tabla y columna del diagrama están en español (con el nombre real en inglés debajo del título de cada tabla y entre paréntesis junto a cada columna), para facilitar su interpretación en la defensa. El schema real (migraciones Flyway, entidades, repositorios) sigue 100% en inglés, sin cambios — es una traducción solo a nivel de este diagrama, no del código ni de la base de datos. El diccionario de datos (sección 3) usa los nombres reales tal como existen en el schema.</w:t>
      </w:r>
    </w:p>
    <w:p>
      <w:pPr>
        <w:pStyle w:val="Heading1"/>
        <w:spacing w:after="180" w:before="420"/>
      </w:pPr>
      <w:r>
        <w:t xml:space="preserve">3. Diccionario de datos</w:t>
      </w:r>
    </w:p>
    <w:p>
      <w:pPr>
        <w:pStyle w:val="Heading2"/>
        <w:spacing w:after="140" w:before="280"/>
      </w:pPr>
      <w:r>
        <w:t xml:space="preserve">users — V1, alterada en V13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hash BCrypt (RNF-03)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IN (ADMIN, OPERATOR, APPLICANT)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3er valor se agregó en V13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true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applicants.id,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solo se usa para APPLICANT; índice único parcial WHERE applicant_id IS NOT NULL</w:t>
            </w:r>
          </w:p>
        </w:tc>
      </w:tr>
    </w:tbl>
    <w:p>
      <w:pPr>
        <w:pStyle w:val="Heading2"/>
        <w:spacing w:after="140" w:before="280"/>
      </w:pPr>
      <w:r>
        <w:t xml:space="preserve">applicants — V2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last_name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dni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VARCHAR(8)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identidad validada contra RENAPER; inmutable desde la app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cuil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VARCHAR(11)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 completa el sistema al validar ANSES, no lo carga el operador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identity_validated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false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RF-02/RF-06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prescriptions — V3, alterada en V6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applicants.id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idx_prescriptions_applicant_id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right_sphere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right_cylinder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right_axis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0–180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left_sphere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left_cylinder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left_axis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0–180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file_key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archivo de la receta en R2 (opcional)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file_content_type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file_original_name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anses_certificates —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UNIQUE, FK → applicants.id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 solo certificado vigente por solicitante; subir otro lo reemplaza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cuil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VARCHAR(11)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extraído del código de barras (RF-04)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transaction_number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resto del código de barras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issue_date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extraída del texto del PDF; RF-05 chequea ≤30 días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file_key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PDF en R2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file_content_type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file_original_name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donors — V4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donor_type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IN (INDIVIDUAL, ORGANIZATION)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nombre completo o razón social — una sola columna para no tener dos pares de campos nullable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document_number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frames — V5, alterada en V9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donor_id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donors.id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idx_frames_donor_id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seal_code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precinto físico (RF-10)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IN (FULL_RIM, SEMI_RIMLESS, RIMLESS)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material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IN (ACETATE, METAL, TITANIUM, PLASTIC, OTHER)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lens_width_mm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bridge_width_mm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temple_length_mm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AVAILABLE, CHECK IN (6 valores)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idx_frames_status; ciclo de vida completo definido de una vez (append-only)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image_key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foto para el probador virtual (RF-18)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image_content_type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image_original_name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assignments — V8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applicants.id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idx_assignments_applicant_id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frames.id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único condicional: idx_assignments_live_frame WHERE cancelled_at IS NULL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prescription_id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prescriptions.id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 receta viaja con el marco a la óptica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sent_to_optician_at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returned_at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cancellation_reason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No hay columna de "estado": cada hito es un timestamp, y eso ES la trazabilidad (RF-16). La fuente de verdad de "dónde está el marco" es frames.status, no una máquina de estados duplicada acá.</w:t>
      </w:r>
    </w:p>
    <w:p>
      <w:pPr>
        <w:pStyle w:val="Heading2"/>
        <w:spacing w:after="140" w:before="280"/>
      </w:pPr>
      <w:r>
        <w:t xml:space="preserve">appointments — V10, alterada en V14 y V16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applicants.id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idx_appointments_applicant_id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assignment_id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NULL, FK → assignments.id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turno de retiro de un par puntual; NULL = atención general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idx_appointments_scheduled_at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PENDING_PAYMENT, CHECK IN (6 valores)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V16 agrega PENDING_REVIEW entre la carga del comprobante y su aprobación por un operador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cancellation_reason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receipt_key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comprobante de la transferencia en R2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receipt_content_type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receipt_original_name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A diferencia de assignments, acá sí hay una columna de estado: un turno es agenda, no trazabilidad de un circuito — importa en qué quedó, no cada reprogramación fila por fila.</w:t>
      </w:r>
    </w:p>
    <w:p>
      <w:pPr>
        <w:pStyle w:val="Heading2"/>
        <w:spacing w:after="140" w:before="280"/>
      </w:pPr>
      <w:r>
        <w:t xml:space="preserve">shipments — V11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origin_branch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destination_branch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tracking_number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UNIQUE,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 asigna Vía Cargo al despachar; NULL mientras se arma el paquete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PENDING, CHECK IN (11 valores)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vocabulario de estados de 17TRACK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cancellation_reason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dispatched_at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El estado del marco no se toca al viajar: el inventario (frames.status) dice qué se puede hacer con el marco, no dónde está parado físicamente — misma decisión que en assignments.</w:t>
      </w:r>
    </w:p>
    <w:p>
      <w:pPr>
        <w:pStyle w:val="Heading2"/>
        <w:spacing w:after="140" w:before="280"/>
      </w:pPr>
      <w:r>
        <w:t xml:space="preserve">shipment_frames — V11 (tabla de asociación N:M)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shipment_id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PK (compuesta), FK → shipments.id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PK (compuesta), FK → frames.id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Sin id propio: la clave primaria es el par (shipment_id, frame_id), el conjunto de marcos que viaja en un mismo paquete.</w:t>
      </w:r>
    </w:p>
    <w:p>
      <w:pPr>
        <w:pStyle w:val="Heading2"/>
        <w:spacing w:after="140" w:before="280"/>
      </w:pPr>
      <w:r>
        <w:t xml:space="preserve">shipment_events — V11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shipment_id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shipments.id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idx_shipment_events_shipment_id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sin CHECK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valor crudo del carrier: un estado nuevo de 17TRACK no puede romper el webhook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cuándo llegó el webhook (distinto de cuándo ocurrió el evento)</w:t>
            </w:r>
          </w:p>
        </w:tc>
      </w:tr>
    </w:tbl>
    <w:p>
      <w:pPr>
        <w:pStyle w:val="Heading2"/>
        <w:spacing w:after="140" w:before="280"/>
      </w:pPr>
      <w:r>
        <w:t xml:space="preserve">products — V12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&gt;= 0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stock_quantity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0, CHECK &gt;= 0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ACTIVE, CHECK IN (ACTIVE, DISCONTINUED)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baja lógica, nunca se borra la fila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image_key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image_content_type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image_original_name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Dominio autocontenido, sin relación con frames/donors: acá se vende para financiar la fundación, no se dona.</w:t>
      </w:r>
    </w:p>
    <w:p>
      <w:pPr>
        <w:pStyle w:val="Heading2"/>
        <w:spacing w:after="140" w:before="280"/>
      </w:pPr>
      <w:r>
        <w:t xml:space="preserve">product_sales — V12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348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34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BIGSERIAL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FK → products.id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idx_product_sales_product_id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CHECK &gt; 0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copia el precio al momento de vender</w:t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buyer_name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sold_at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4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unit_price no se recalcula desde products.price: si el precio cambia después, no debe reescribir ventas ya cerradas.</w:t>
      </w:r>
    </w:p>
    <w:p>
      <w:pPr>
        <w:pStyle w:val="Heading1"/>
        <w:spacing w:after="180" w:before="420"/>
      </w:pPr>
      <w:r>
        <w:t xml:space="preserve">4. Índices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88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Índice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Columnas</w:t>
            </w:r>
          </w:p>
        </w:tc>
        <w:tc>
          <w:tcPr>
            <w:tcW w:type="dxa" w:w="3880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idx_prescriptions_applicant_id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prescriptions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idx_frames_donor_id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frames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donor_id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idx_frames_status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frames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idx_assignments_live_frame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frame_id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único, parcial (WHERE cancelled_at IS NULL)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idx_assignments_applicant_id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idx_appointments_applicant_id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idx_appointments_scheduled_at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idx_shipment_events_shipment_id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shipment_events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shipment_id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idx_product_sales_product_id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product_sales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idx_users_applicant_id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388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único, parcial (WHERE applicant_id IS NOT NULL)</w:t>
            </w:r>
          </w:p>
        </w:tc>
      </w:tr>
    </w:tbl>
    <w:p>
      <w:pPr>
        <w:pStyle w:val="Heading1"/>
        <w:spacing w:after="180" w:before="420"/>
      </w:pPr>
      <w:r>
        <w:t xml:space="preserve">5. Decisiones de diseño transversales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Nunca se persisten binarios: toda tabla con un archivo asociado guarda *_key / *_content_type / *_original_name, nunca el contenido ni una URL (RNF-07).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Índices únicos condicionales (WHERE ... IS NULL) resuelven invariantes de negocio a nivel de base de datos en vez de una consulta previa desde la aplicación, que sería una condición de carrera entre dos operadores concurrentes (assignments.frame_id, users.applicant_id).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Trazabilidad como timestamps, no como estado en assignments: cada hito del circuito es una columna de fecha; el estado "actual" se deriva, no se guarda dos veces.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 explícito para vocabularios cerrados y propios (frames.status, appointments.status, products.status) vs. sin CHECK para vocabulario de un tercero (shipment_events.status), porque ese valor lo define 17TRACK y puede agregar códigos sin previo aviso.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Migraciones append-only: los ALTER TABLE de V6, V9, V13, V14 y V16 agregan columnas o reemplazan un CHECK completo (DROP CONSTRAINT + ADD CONSTRAINT), nunca editan una migración ya aplicada.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Modelo de Base de Datos — Banco de Anteojos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4210d0ea8cd25e244d7faba420bf91480673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2026-09-27T21:51:48.035Z</dcterms:created>
  <dcterms:modified xsi:type="dcterms:W3CDTF">2026-09-27T21:51:48.036Z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