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sz w:val="40"/>
          <w:szCs w:val="40"/>
        </w:rPr>
        <w:t xml:space="preserve">Especificación de Requisitos de Software (SRS)</w:t>
      </w:r>
    </w:p>
    <w:p>
      <w:pPr>
        <w:spacing w:after="100"/>
        <w:jc w:val="center"/>
      </w:pPr>
      <w:r>
        <w:rPr>
          <w:sz w:val="28"/>
          <w:szCs w:val="28"/>
        </w:rPr>
        <w:t xml:space="preserve">Sistema Banco de Anteojos — Fundación Hacer Futuro</w:t>
      </w:r>
    </w:p>
    <w:p>
      <w:pPr>
        <w:spacing w:after="800"/>
        <w:jc w:val="center"/>
      </w:pPr>
      <w:r>
        <w:rPr>
          <w:i/>
          <w:iCs/>
          <w:sz w:val="22"/>
          <w:szCs w:val="22"/>
        </w:rPr>
        <w:t xml:space="preserve">Basado en IEEE Std 830-1998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D9D9D9" w:color="auto" w:val="clear"/>
            <w:tcMar>
              <w:top w:type="dxa" w:w="60"/>
              <w:left w:type="dxa" w:w="100"/>
              <w:bottom w:type="dxa" w:w="60"/>
              <w:right w:type="dxa" w:w="100"/>
            </w:tcMar>
            <w:vAlign w:val="center"/>
          </w:tcPr>
          <w:p>
            <w:r>
              <w:rPr>
                <w:b/>
                <w:bCs/>
                <w:sz w:val="20"/>
                <w:szCs w:val="20"/>
              </w:rPr>
              <w:t xml:space="preserve">Campo</w:t>
            </w:r>
          </w:p>
        </w:tc>
        <w:tc>
          <w:tcPr>
            <w:tcW w:type="dxa" w:w="6860"/>
            <w:shd w:fill="D9D9D9" w:color="auto" w:val="clear"/>
            <w:tcMar>
              <w:top w:type="dxa" w:w="60"/>
              <w:left w:type="dxa" w:w="100"/>
              <w:bottom w:type="dxa" w:w="60"/>
              <w:right w:type="dxa" w:w="100"/>
            </w:tcMar>
            <w:vAlign w:val="center"/>
          </w:tcPr>
          <w:p>
            <w:r>
              <w:rPr>
                <w:b/>
                <w:bCs/>
                <w:sz w:val="20"/>
                <w:szCs w:val="20"/>
              </w:rPr>
              <w:t xml:space="preserve">Detalle</w:t>
            </w:r>
          </w:p>
        </w:tc>
      </w:tr>
      <w:tr>
        <w:tc>
          <w:tcPr>
            <w:tcW w:type="dxa" w:w="2500"/>
            <w:tcMar>
              <w:top w:type="dxa" w:w="60"/>
              <w:left w:type="dxa" w:w="100"/>
              <w:bottom w:type="dxa" w:w="60"/>
              <w:right w:type="dxa" w:w="100"/>
            </w:tcMar>
            <w:vAlign w:val="center"/>
          </w:tcPr>
          <w:p>
            <w:r>
              <w:rPr>
                <w:b w:val="false"/>
                <w:bCs w:val="false"/>
                <w:sz w:val="20"/>
                <w:szCs w:val="20"/>
              </w:rPr>
              <w:t xml:space="preserve">Proyecto</w:t>
            </w:r>
          </w:p>
        </w:tc>
        <w:tc>
          <w:tcPr>
            <w:tcW w:type="dxa" w:w="6860"/>
            <w:tcMar>
              <w:top w:type="dxa" w:w="60"/>
              <w:left w:type="dxa" w:w="100"/>
              <w:bottom w:type="dxa" w:w="60"/>
              <w:right w:type="dxa" w:w="100"/>
            </w:tcMar>
            <w:vAlign w:val="center"/>
          </w:tcPr>
          <w:p>
            <w:r>
              <w:rPr>
                <w:b w:val="false"/>
                <w:bCs w:val="false"/>
                <w:sz w:val="20"/>
                <w:szCs w:val="20"/>
              </w:rPr>
              <w:t xml:space="preserve">Proyecto Final UTN-FRT 2026 · ID T045</w:t>
            </w:r>
          </w:p>
        </w:tc>
      </w:tr>
      <w:tr>
        <w:tc>
          <w:tcPr>
            <w:tcW w:type="dxa" w:w="2500"/>
            <w:tcMar>
              <w:top w:type="dxa" w:w="60"/>
              <w:left w:type="dxa" w:w="100"/>
              <w:bottom w:type="dxa" w:w="60"/>
              <w:right w:type="dxa" w:w="100"/>
            </w:tcMar>
            <w:vAlign w:val="center"/>
          </w:tcPr>
          <w:p>
            <w:r>
              <w:rPr>
                <w:b w:val="false"/>
                <w:bCs w:val="false"/>
                <w:sz w:val="20"/>
                <w:szCs w:val="20"/>
              </w:rPr>
              <w:t xml:space="preserve">Organización</w:t>
            </w:r>
          </w:p>
        </w:tc>
        <w:tc>
          <w:tcPr>
            <w:tcW w:type="dxa" w:w="6860"/>
            <w:tcMar>
              <w:top w:type="dxa" w:w="60"/>
              <w:left w:type="dxa" w:w="100"/>
              <w:bottom w:type="dxa" w:w="60"/>
              <w:right w:type="dxa" w:w="100"/>
            </w:tcMar>
            <w:vAlign w:val="center"/>
          </w:tcPr>
          <w:p>
            <w:r>
              <w:rPr>
                <w:b w:val="false"/>
                <w:bCs w:val="false"/>
                <w:sz w:val="20"/>
                <w:szCs w:val="20"/>
              </w:rPr>
              <w:t xml:space="preserve">Fundación Hacer Futuro — Chacabuco 27, San Miguel de Tucumán</w:t>
            </w:r>
          </w:p>
        </w:tc>
      </w:tr>
      <w:tr>
        <w:tc>
          <w:tcPr>
            <w:tcW w:type="dxa" w:w="2500"/>
            <w:tcMar>
              <w:top w:type="dxa" w:w="60"/>
              <w:left w:type="dxa" w:w="100"/>
              <w:bottom w:type="dxa" w:w="60"/>
              <w:right w:type="dxa" w:w="100"/>
            </w:tcMar>
            <w:vAlign w:val="center"/>
          </w:tcPr>
          <w:p>
            <w:r>
              <w:rPr>
                <w:b w:val="false"/>
                <w:bCs w:val="false"/>
                <w:sz w:val="20"/>
                <w:szCs w:val="20"/>
              </w:rPr>
              <w:t xml:space="preserve">Versión del documento</w:t>
            </w:r>
          </w:p>
        </w:tc>
        <w:tc>
          <w:tcPr>
            <w:tcW w:type="dxa" w:w="6860"/>
            <w:tcMar>
              <w:top w:type="dxa" w:w="60"/>
              <w:left w:type="dxa" w:w="100"/>
              <w:bottom w:type="dxa" w:w="60"/>
              <w:right w:type="dxa" w:w="100"/>
            </w:tcMar>
            <w:vAlign w:val="center"/>
          </w:tcPr>
          <w:p>
            <w:r>
              <w:rPr>
                <w:b w:val="false"/>
                <w:bCs w:val="false"/>
                <w:sz w:val="20"/>
                <w:szCs w:val="20"/>
              </w:rPr>
              <w:t xml:space="preserve">1.0</w:t>
            </w:r>
          </w:p>
        </w:tc>
      </w:tr>
      <w:tr>
        <w:tc>
          <w:tcPr>
            <w:tcW w:type="dxa" w:w="2500"/>
            <w:tcMar>
              <w:top w:type="dxa" w:w="60"/>
              <w:left w:type="dxa" w:w="100"/>
              <w:bottom w:type="dxa" w:w="60"/>
              <w:right w:type="dxa" w:w="100"/>
            </w:tcMar>
            <w:vAlign w:val="center"/>
          </w:tcPr>
          <w:p>
            <w:r>
              <w:rPr>
                <w:b w:val="false"/>
                <w:bCs w:val="false"/>
                <w:sz w:val="20"/>
                <w:szCs w:val="20"/>
              </w:rPr>
              <w:t xml:space="preserve">Estado</w:t>
            </w:r>
          </w:p>
        </w:tc>
        <w:tc>
          <w:tcPr>
            <w:tcW w:type="dxa" w:w="6860"/>
            <w:tcMar>
              <w:top w:type="dxa" w:w="60"/>
              <w:left w:type="dxa" w:w="100"/>
              <w:bottom w:type="dxa" w:w="60"/>
              <w:right w:type="dxa" w:w="100"/>
            </w:tcMar>
            <w:vAlign w:val="center"/>
          </w:tcPr>
          <w:p>
            <w:r>
              <w:rPr>
                <w:b w:val="false"/>
                <w:bCs w:val="false"/>
                <w:sz w:val="20"/>
                <w:szCs w:val="20"/>
              </w:rPr>
              <w:t xml:space="preserve">Alcance completo del sistema (incluye módulos ya implementados y pendientes)</w:t>
            </w:r>
          </w:p>
        </w:tc>
      </w:tr>
      <w:tr>
        <w:tc>
          <w:tcPr>
            <w:tcW w:type="dxa" w:w="2500"/>
            <w:tcMar>
              <w:top w:type="dxa" w:w="60"/>
              <w:left w:type="dxa" w:w="100"/>
              <w:bottom w:type="dxa" w:w="60"/>
              <w:right w:type="dxa" w:w="100"/>
            </w:tcMar>
            <w:vAlign w:val="center"/>
          </w:tcPr>
          <w:p>
            <w:r>
              <w:rPr>
                <w:b w:val="false"/>
                <w:bCs w:val="false"/>
                <w:sz w:val="20"/>
                <w:szCs w:val="20"/>
              </w:rPr>
              <w:t xml:space="preserve">Fuente de requisitos</w:t>
            </w:r>
          </w:p>
        </w:tc>
        <w:tc>
          <w:tcPr>
            <w:tcW w:type="dxa" w:w="6860"/>
            <w:tcMar>
              <w:top w:type="dxa" w:w="60"/>
              <w:left w:type="dxa" w:w="100"/>
              <w:bottom w:type="dxa" w:w="60"/>
              <w:right w:type="dxa" w:w="100"/>
            </w:tcMar>
            <w:vAlign w:val="center"/>
          </w:tcPr>
          <w:p>
            <w:r>
              <w:rPr>
                <w:b w:val="false"/>
                <w:bCs w:val="false"/>
                <w:sz w:val="20"/>
                <w:szCs w:val="20"/>
              </w:rPr>
              <w:t xml:space="preserve">Declaración de Alcance v4 / Matriz de Trazabilidad v3, consolidados en docs/REQUIREMENTS.md</w:t>
            </w:r>
          </w:p>
        </w:tc>
      </w:tr>
    </w:tbl>
    <w:p>
      <w:r>
        <w:br w:type="page"/>
      </w:r>
    </w:p>
    <w:p>
      <w:pPr>
        <w:pStyle w:val="Heading1"/>
        <w:spacing w:after="200" w:before="400"/>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Introducción</w:t>
      </w:r>
    </w:p>
    <w:p>
      <w:pPr>
        <w:pStyle w:val="Heading2"/>
        <w:spacing w:after="150" w:before="300"/>
      </w:pPr>
      <w:r>
        <w:t xml:space="preserve">1.1 Propósito</w:t>
      </w:r>
    </w:p>
    <w:p>
      <w:pPr>
        <w:spacing w:after="120"/>
      </w:pPr>
      <w:r>
        <w:t xml:space="preserve">Este documento especifica los requisitos funcionales y no funcionales del sistema Banco de Anteojos, desarrollado para la Fundación Hacer Futuro. Su propósito es servir como contrato técnico entre el equipo de desarrollo y la cátedra/fundación: define qué debe hacer el sistema, sin prescribir cómo implementarlo (el cómo se documenta en el Documento de Arquitectura de Software).</w:t>
      </w:r>
    </w:p>
    <w:p>
      <w:pPr>
        <w:spacing w:after="120"/>
      </w:pPr>
      <w:r>
        <w:t xml:space="preserve">Está dirigido a: el equipo de desarrollo (como referencia de alcance), la cátedra (como entregable de evaluación) y la fundación (como validación de que el sistema cubre su operatoria real).</w:t>
      </w:r>
    </w:p>
    <w:p>
      <w:pPr>
        <w:pStyle w:val="Heading2"/>
        <w:spacing w:after="150" w:before="300"/>
      </w:pPr>
      <w:r>
        <w:t xml:space="preserve">1.2 Alcance del sistema</w:t>
      </w:r>
    </w:p>
    <w:p>
      <w:pPr>
        <w:spacing w:after="120"/>
      </w:pPr>
      <w:r>
        <w:t xml:space="preserve">El sistema digitaliza la operatoria del Banco de Anteojos, hoy gestionada en papel. Cubre el ciclo completo:</w:t>
      </w:r>
    </w:p>
    <w:p>
      <w:pPr>
        <w:pStyle w:val="ListParagraph"/>
        <w:numPr>
          <w:ilvl w:val="0"/>
          <w:numId w:val="1"/>
        </w:numPr>
        <w:spacing w:after="60"/>
      </w:pPr>
      <w:r>
        <w:t xml:space="preserve">Recepción de donaciones de marcos y registro de donantes.</w:t>
      </w:r>
    </w:p>
    <w:p>
      <w:pPr>
        <w:pStyle w:val="ListParagraph"/>
        <w:numPr>
          <w:ilvl w:val="0"/>
          <w:numId w:val="1"/>
        </w:numPr>
        <w:spacing w:after="60"/>
      </w:pPr>
      <w:r>
        <w:t xml:space="preserve">Registro y validación de elegibilidad de beneficiarios (solicitantes).</w:t>
      </w:r>
    </w:p>
    <w:p>
      <w:pPr>
        <w:pStyle w:val="ListParagraph"/>
        <w:numPr>
          <w:ilvl w:val="0"/>
          <w:numId w:val="1"/>
        </w:numPr>
        <w:spacing w:after="60"/>
      </w:pPr>
      <w:r>
        <w:t xml:space="preserve">Inventario de marcos con clasificación por atributos.</w:t>
      </w:r>
    </w:p>
    <w:p>
      <w:pPr>
        <w:pStyle w:val="ListParagraph"/>
        <w:numPr>
          <w:ilvl w:val="0"/>
          <w:numId w:val="1"/>
        </w:numPr>
        <w:spacing w:after="60"/>
      </w:pPr>
      <w:r>
        <w:t xml:space="preserve">Match entre receta médica y marco disponible, asignación y trazabilidad end-to-end hasta la entrega.</w:t>
      </w:r>
    </w:p>
    <w:p>
      <w:pPr>
        <w:pStyle w:val="ListParagraph"/>
        <w:numPr>
          <w:ilvl w:val="0"/>
          <w:numId w:val="1"/>
        </w:numPr>
        <w:spacing w:after="60"/>
      </w:pPr>
      <w:r>
        <w:t xml:space="preserve">Gestión de turnos de atención y notificaciones asociadas.</w:t>
      </w:r>
    </w:p>
    <w:p>
      <w:pPr>
        <w:pStyle w:val="ListParagraph"/>
        <w:numPr>
          <w:ilvl w:val="0"/>
          <w:numId w:val="1"/>
        </w:numPr>
        <w:spacing w:after="60"/>
      </w:pPr>
      <w:r>
        <w:t xml:space="preserve">Logística de envíos entre sucursales, integrada con el operador de encomiendas Vía Cargo a través de 17TRACK.</w:t>
      </w:r>
    </w:p>
    <w:p>
      <w:pPr>
        <w:pStyle w:val="ListParagraph"/>
        <w:numPr>
          <w:ilvl w:val="0"/>
          <w:numId w:val="1"/>
        </w:numPr>
        <w:spacing w:after="60"/>
      </w:pPr>
      <w:r>
        <w:t xml:space="preserve">Probador virtual de marcos sobre foto estática.</w:t>
      </w:r>
    </w:p>
    <w:p>
      <w:pPr>
        <w:pStyle w:val="ListParagraph"/>
        <w:numPr>
          <w:ilvl w:val="0"/>
          <w:numId w:val="1"/>
        </w:numPr>
        <w:spacing w:after="60"/>
      </w:pPr>
      <w:r>
        <w:t xml:space="preserve">Panel de indicadores de impacto social.</w:t>
      </w:r>
    </w:p>
    <w:p>
      <w:pPr>
        <w:pStyle w:val="ListParagraph"/>
        <w:numPr>
          <w:ilvl w:val="0"/>
          <w:numId w:val="1"/>
        </w:numPr>
        <w:spacing w:after="60"/>
      </w:pPr>
      <w:r>
        <w:t xml:space="preserve">Catálogo de venta de anteojos de sol, como fuente adicional de financiamiento.</w:t>
      </w:r>
    </w:p>
    <w:p>
      <w:pPr>
        <w:spacing w:after="120"/>
      </w:pPr>
      <w:r>
        <w:t xml:space="preserve">Fuera de alcance: procesamiento de pagos online (el bono contribución se valida offline por un operador a partir de un comprobante), realidad aumentada 3D en tiempo real, aplicación móvil nativa, integración directa con Vía Cargo (se realiza vía 17TRACK), y cualquier trámite administrativo externo (el convenio de confronte de datos con RENAPER vía TAD es un trámite de la fundación, no una funcionalidad del sistema).</w:t>
      </w:r>
    </w:p>
    <w:p>
      <w:pPr>
        <w:pStyle w:val="Heading2"/>
        <w:spacing w:after="150" w:before="300"/>
      </w:pPr>
      <w:r>
        <w:t xml:space="preserve">1.3 Definiciones, siglas y abreviaturas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9D9D9" w:color="auto" w:val="clear"/>
            <w:tcMar>
              <w:top w:type="dxa" w:w="60"/>
              <w:left w:type="dxa" w:w="100"/>
              <w:bottom w:type="dxa" w:w="60"/>
              <w:right w:type="dxa" w:w="100"/>
            </w:tcMar>
            <w:vAlign w:val="center"/>
          </w:tcPr>
          <w:p>
            <w:r>
              <w:rPr>
                <w:b/>
                <w:bCs/>
                <w:sz w:val="20"/>
                <w:szCs w:val="20"/>
              </w:rPr>
              <w:t xml:space="preserve">Término</w:t>
            </w:r>
          </w:p>
        </w:tc>
        <w:tc>
          <w:tcPr>
            <w:tcW w:type="dxa" w:w="6160"/>
            <w:shd w:fill="D9D9D9" w:color="auto" w:val="clear"/>
            <w:tcMar>
              <w:top w:type="dxa" w:w="60"/>
              <w:left w:type="dxa" w:w="100"/>
              <w:bottom w:type="dxa" w:w="60"/>
              <w:right w:type="dxa" w:w="100"/>
            </w:tcMar>
            <w:vAlign w:val="center"/>
          </w:tcPr>
          <w:p>
            <w:r>
              <w:rPr>
                <w:b/>
                <w:bCs/>
                <w:sz w:val="20"/>
                <w:szCs w:val="20"/>
              </w:rPr>
              <w:t xml:space="preserve">Significado</w:t>
            </w:r>
          </w:p>
        </w:tc>
      </w:tr>
      <w:tr>
        <w:tc>
          <w:tcPr>
            <w:tcW w:type="dxa" w:w="3200"/>
            <w:tcMar>
              <w:top w:type="dxa" w:w="60"/>
              <w:left w:type="dxa" w:w="100"/>
              <w:bottom w:type="dxa" w:w="60"/>
              <w:right w:type="dxa" w:w="100"/>
            </w:tcMar>
            <w:vAlign w:val="center"/>
          </w:tcPr>
          <w:p>
            <w:r>
              <w:rPr>
                <w:b w:val="false"/>
                <w:bCs w:val="false"/>
                <w:sz w:val="20"/>
                <w:szCs w:val="20"/>
              </w:rPr>
              <w:t xml:space="preserve">RF / RNF</w:t>
            </w:r>
          </w:p>
        </w:tc>
        <w:tc>
          <w:tcPr>
            <w:tcW w:type="dxa" w:w="6160"/>
            <w:tcMar>
              <w:top w:type="dxa" w:w="60"/>
              <w:left w:type="dxa" w:w="100"/>
              <w:bottom w:type="dxa" w:w="60"/>
              <w:right w:type="dxa" w:w="100"/>
            </w:tcMar>
            <w:vAlign w:val="center"/>
          </w:tcPr>
          <w:p>
            <w:r>
              <w:rPr>
                <w:b w:val="false"/>
                <w:bCs w:val="false"/>
                <w:sz w:val="20"/>
                <w:szCs w:val="20"/>
              </w:rPr>
              <w:t xml:space="preserve">Requisito Funcional / Requisito No Funcional</w:t>
            </w:r>
          </w:p>
        </w:tc>
      </w:tr>
      <w:tr>
        <w:tc>
          <w:tcPr>
            <w:tcW w:type="dxa" w:w="3200"/>
            <w:tcMar>
              <w:top w:type="dxa" w:w="60"/>
              <w:left w:type="dxa" w:w="100"/>
              <w:bottom w:type="dxa" w:w="60"/>
              <w:right w:type="dxa" w:w="100"/>
            </w:tcMar>
            <w:vAlign w:val="center"/>
          </w:tcPr>
          <w:p>
            <w:r>
              <w:rPr>
                <w:b w:val="false"/>
                <w:bCs w:val="false"/>
                <w:sz w:val="20"/>
                <w:szCs w:val="20"/>
              </w:rPr>
              <w:t xml:space="preserve">Beneficiario / Solicitante (Applicant)</w:t>
            </w:r>
          </w:p>
        </w:tc>
        <w:tc>
          <w:tcPr>
            <w:tcW w:type="dxa" w:w="6160"/>
            <w:tcMar>
              <w:top w:type="dxa" w:w="60"/>
              <w:left w:type="dxa" w:w="100"/>
              <w:bottom w:type="dxa" w:w="60"/>
              <w:right w:type="dxa" w:w="100"/>
            </w:tcMar>
            <w:vAlign w:val="center"/>
          </w:tcPr>
          <w:p>
            <w:r>
              <w:rPr>
                <w:b w:val="false"/>
                <w:bCs w:val="false"/>
                <w:sz w:val="20"/>
                <w:szCs w:val="20"/>
              </w:rPr>
              <w:t xml:space="preserve">Persona sin cobertura médica que solicita anteojos a la fundación</w:t>
            </w:r>
          </w:p>
        </w:tc>
      </w:tr>
      <w:tr>
        <w:tc>
          <w:tcPr>
            <w:tcW w:type="dxa" w:w="3200"/>
            <w:tcMar>
              <w:top w:type="dxa" w:w="60"/>
              <w:left w:type="dxa" w:w="100"/>
              <w:bottom w:type="dxa" w:w="60"/>
              <w:right w:type="dxa" w:w="100"/>
            </w:tcMar>
            <w:vAlign w:val="center"/>
          </w:tcPr>
          <w:p>
            <w:r>
              <w:rPr>
                <w:b w:val="false"/>
                <w:bCs w:val="false"/>
                <w:sz w:val="20"/>
                <w:szCs w:val="20"/>
              </w:rPr>
              <w:t xml:space="preserve">Donante (Donor)</w:t>
            </w:r>
          </w:p>
        </w:tc>
        <w:tc>
          <w:tcPr>
            <w:tcW w:type="dxa" w:w="6160"/>
            <w:tcMar>
              <w:top w:type="dxa" w:w="60"/>
              <w:left w:type="dxa" w:w="100"/>
              <w:bottom w:type="dxa" w:w="60"/>
              <w:right w:type="dxa" w:w="100"/>
            </w:tcMar>
            <w:vAlign w:val="center"/>
          </w:tcPr>
          <w:p>
            <w:r>
              <w:rPr>
                <w:b w:val="false"/>
                <w:bCs w:val="false"/>
                <w:sz w:val="20"/>
                <w:szCs w:val="20"/>
              </w:rPr>
              <w:t xml:space="preserve">Persona o entidad que dona marcos usados</w:t>
            </w:r>
          </w:p>
        </w:tc>
      </w:tr>
      <w:tr>
        <w:tc>
          <w:tcPr>
            <w:tcW w:type="dxa" w:w="3200"/>
            <w:tcMar>
              <w:top w:type="dxa" w:w="60"/>
              <w:left w:type="dxa" w:w="100"/>
              <w:bottom w:type="dxa" w:w="60"/>
              <w:right w:type="dxa" w:w="100"/>
            </w:tcMar>
            <w:vAlign w:val="center"/>
          </w:tcPr>
          <w:p>
            <w:r>
              <w:rPr>
                <w:b w:val="false"/>
                <w:bCs w:val="false"/>
                <w:sz w:val="20"/>
                <w:szCs w:val="20"/>
              </w:rPr>
              <w:t xml:space="preserve">Marco (Frame)</w:t>
            </w:r>
          </w:p>
        </w:tc>
        <w:tc>
          <w:tcPr>
            <w:tcW w:type="dxa" w:w="6160"/>
            <w:tcMar>
              <w:top w:type="dxa" w:w="60"/>
              <w:left w:type="dxa" w:w="100"/>
              <w:bottom w:type="dxa" w:w="60"/>
              <w:right w:type="dxa" w:w="100"/>
            </w:tcMar>
            <w:vAlign w:val="center"/>
          </w:tcPr>
          <w:p>
            <w:r>
              <w:rPr>
                <w:b w:val="false"/>
                <w:bCs w:val="false"/>
                <w:sz w:val="20"/>
                <w:szCs w:val="20"/>
              </w:rPr>
              <w:t xml:space="preserve">Armazón de anteojos donado, sujeto a un ciclo de vida propio en el inventario</w:t>
            </w:r>
          </w:p>
        </w:tc>
      </w:tr>
      <w:tr>
        <w:tc>
          <w:tcPr>
            <w:tcW w:type="dxa" w:w="3200"/>
            <w:tcMar>
              <w:top w:type="dxa" w:w="60"/>
              <w:left w:type="dxa" w:w="100"/>
              <w:bottom w:type="dxa" w:w="60"/>
              <w:right w:type="dxa" w:w="100"/>
            </w:tcMar>
            <w:vAlign w:val="center"/>
          </w:tcPr>
          <w:p>
            <w:r>
              <w:rPr>
                <w:b w:val="false"/>
                <w:bCs w:val="false"/>
                <w:sz w:val="20"/>
                <w:szCs w:val="20"/>
              </w:rPr>
              <w:t xml:space="preserve">Asignación (Assignment)</w:t>
            </w:r>
          </w:p>
        </w:tc>
        <w:tc>
          <w:tcPr>
            <w:tcW w:type="dxa" w:w="6160"/>
            <w:tcMar>
              <w:top w:type="dxa" w:w="60"/>
              <w:left w:type="dxa" w:w="100"/>
              <w:bottom w:type="dxa" w:w="60"/>
              <w:right w:type="dxa" w:w="100"/>
            </w:tcMar>
            <w:vAlign w:val="center"/>
          </w:tcPr>
          <w:p>
            <w:r>
              <w:rPr>
                <w:b w:val="false"/>
                <w:bCs w:val="false"/>
                <w:sz w:val="20"/>
                <w:szCs w:val="20"/>
              </w:rPr>
              <w:t xml:space="preserve">Vínculo entre un beneficiario, su receta y un marco, con trazabilidad hasta la entrega</w:t>
            </w:r>
          </w:p>
        </w:tc>
      </w:tr>
      <w:tr>
        <w:tc>
          <w:tcPr>
            <w:tcW w:type="dxa" w:w="3200"/>
            <w:tcMar>
              <w:top w:type="dxa" w:w="60"/>
              <w:left w:type="dxa" w:w="100"/>
              <w:bottom w:type="dxa" w:w="60"/>
              <w:right w:type="dxa" w:w="100"/>
            </w:tcMar>
            <w:vAlign w:val="center"/>
          </w:tcPr>
          <w:p>
            <w:r>
              <w:rPr>
                <w:b w:val="false"/>
                <w:bCs w:val="false"/>
                <w:sz w:val="20"/>
                <w:szCs w:val="20"/>
              </w:rPr>
              <w:t xml:space="preserve">SID</w:t>
            </w:r>
          </w:p>
        </w:tc>
        <w:tc>
          <w:tcPr>
            <w:tcW w:type="dxa" w:w="6160"/>
            <w:tcMar>
              <w:top w:type="dxa" w:w="60"/>
              <w:left w:type="dxa" w:w="100"/>
              <w:bottom w:type="dxa" w:w="60"/>
              <w:right w:type="dxa" w:w="100"/>
            </w:tcMar>
            <w:vAlign w:val="center"/>
          </w:tcPr>
          <w:p>
            <w:r>
              <w:rPr>
                <w:b w:val="false"/>
                <w:bCs w:val="false"/>
                <w:sz w:val="20"/>
                <w:szCs w:val="20"/>
              </w:rPr>
              <w:t xml:space="preserve">Sistema de Identificación Digital de RENAPER (validación de identidad por DNI)</w:t>
            </w:r>
          </w:p>
        </w:tc>
      </w:tr>
      <w:tr>
        <w:tc>
          <w:tcPr>
            <w:tcW w:type="dxa" w:w="3200"/>
            <w:tcMar>
              <w:top w:type="dxa" w:w="60"/>
              <w:left w:type="dxa" w:w="100"/>
              <w:bottom w:type="dxa" w:w="60"/>
              <w:right w:type="dxa" w:w="100"/>
            </w:tcMar>
            <w:vAlign w:val="center"/>
          </w:tcPr>
          <w:p>
            <w:r>
              <w:rPr>
                <w:b w:val="false"/>
                <w:bCs w:val="false"/>
                <w:sz w:val="20"/>
                <w:szCs w:val="20"/>
              </w:rPr>
              <w:t xml:space="preserve">ANSES — Certificación Negativa</w:t>
            </w:r>
          </w:p>
        </w:tc>
        <w:tc>
          <w:tcPr>
            <w:tcW w:type="dxa" w:w="6160"/>
            <w:tcMar>
              <w:top w:type="dxa" w:w="60"/>
              <w:left w:type="dxa" w:w="100"/>
              <w:bottom w:type="dxa" w:w="60"/>
              <w:right w:type="dxa" w:w="100"/>
            </w:tcMar>
            <w:vAlign w:val="center"/>
          </w:tcPr>
          <w:p>
            <w:r>
              <w:rPr>
                <w:b w:val="false"/>
                <w:bCs w:val="false"/>
                <w:sz w:val="20"/>
                <w:szCs w:val="20"/>
              </w:rPr>
              <w:t xml:space="preserve">Constancia de que la persona no percibe prestación de ANSES, requisito de elegibilidad</w:t>
            </w:r>
          </w:p>
        </w:tc>
      </w:tr>
      <w:tr>
        <w:tc>
          <w:tcPr>
            <w:tcW w:type="dxa" w:w="3200"/>
            <w:tcMar>
              <w:top w:type="dxa" w:w="60"/>
              <w:left w:type="dxa" w:w="100"/>
              <w:bottom w:type="dxa" w:w="60"/>
              <w:right w:type="dxa" w:w="100"/>
            </w:tcMar>
            <w:vAlign w:val="center"/>
          </w:tcPr>
          <w:p>
            <w:r>
              <w:rPr>
                <w:b w:val="false"/>
                <w:bCs w:val="false"/>
                <w:sz w:val="20"/>
                <w:szCs w:val="20"/>
              </w:rPr>
              <w:t xml:space="preserve">TAD</w:t>
            </w:r>
          </w:p>
        </w:tc>
        <w:tc>
          <w:tcPr>
            <w:tcW w:type="dxa" w:w="6160"/>
            <w:tcMar>
              <w:top w:type="dxa" w:w="60"/>
              <w:left w:type="dxa" w:w="100"/>
              <w:bottom w:type="dxa" w:w="60"/>
              <w:right w:type="dxa" w:w="100"/>
            </w:tcMar>
            <w:vAlign w:val="center"/>
          </w:tcPr>
          <w:p>
            <w:r>
              <w:rPr>
                <w:b w:val="false"/>
                <w:bCs w:val="false"/>
                <w:sz w:val="20"/>
                <w:szCs w:val="20"/>
              </w:rPr>
              <w:t xml:space="preserve">Trámites a Distancia (plataforma del Estado Nacional)</w:t>
            </w:r>
          </w:p>
        </w:tc>
      </w:tr>
      <w:tr>
        <w:tc>
          <w:tcPr>
            <w:tcW w:type="dxa" w:w="3200"/>
            <w:tcMar>
              <w:top w:type="dxa" w:w="60"/>
              <w:left w:type="dxa" w:w="100"/>
              <w:bottom w:type="dxa" w:w="60"/>
              <w:right w:type="dxa" w:w="100"/>
            </w:tcMar>
            <w:vAlign w:val="center"/>
          </w:tcPr>
          <w:p>
            <w:r>
              <w:rPr>
                <w:b w:val="false"/>
                <w:bCs w:val="false"/>
                <w:sz w:val="20"/>
                <w:szCs w:val="20"/>
              </w:rPr>
              <w:t xml:space="preserve">17TRACK</w:t>
            </w:r>
          </w:p>
        </w:tc>
        <w:tc>
          <w:tcPr>
            <w:tcW w:type="dxa" w:w="6160"/>
            <w:tcMar>
              <w:top w:type="dxa" w:w="60"/>
              <w:left w:type="dxa" w:w="100"/>
              <w:bottom w:type="dxa" w:w="60"/>
              <w:right w:type="dxa" w:w="100"/>
            </w:tcMar>
            <w:vAlign w:val="center"/>
          </w:tcPr>
          <w:p>
            <w:r>
              <w:rPr>
                <w:b w:val="false"/>
                <w:bCs w:val="false"/>
                <w:sz w:val="20"/>
                <w:szCs w:val="20"/>
              </w:rPr>
              <w:t xml:space="preserve">Servicio de terceros que unifica el tracking de encomiendas de múltiples transportistas, incluido Vía Cargo</w:t>
            </w:r>
          </w:p>
        </w:tc>
      </w:tr>
      <w:tr>
        <w:tc>
          <w:tcPr>
            <w:tcW w:type="dxa" w:w="3200"/>
            <w:tcMar>
              <w:top w:type="dxa" w:w="60"/>
              <w:left w:type="dxa" w:w="100"/>
              <w:bottom w:type="dxa" w:w="60"/>
              <w:right w:type="dxa" w:w="100"/>
            </w:tcMar>
            <w:vAlign w:val="center"/>
          </w:tcPr>
          <w:p>
            <w:r>
              <w:rPr>
                <w:b w:val="false"/>
                <w:bCs w:val="false"/>
                <w:sz w:val="20"/>
                <w:szCs w:val="20"/>
              </w:rPr>
              <w:t xml:space="preserve">Bono contribución</w:t>
            </w:r>
          </w:p>
        </w:tc>
        <w:tc>
          <w:tcPr>
            <w:tcW w:type="dxa" w:w="6160"/>
            <w:tcMar>
              <w:top w:type="dxa" w:w="60"/>
              <w:left w:type="dxa" w:w="100"/>
              <w:bottom w:type="dxa" w:w="60"/>
              <w:right w:type="dxa" w:w="100"/>
            </w:tcMar>
            <w:vAlign w:val="center"/>
          </w:tcPr>
          <w:p>
            <w:r>
              <w:rPr>
                <w:b w:val="false"/>
                <w:bCs w:val="false"/>
                <w:sz w:val="20"/>
                <w:szCs w:val="20"/>
              </w:rPr>
              <w:t xml:space="preserve">Aporte voluntario que el beneficiario transfiere para confirmar su turno de autogestión</w:t>
            </w:r>
          </w:p>
        </w:tc>
      </w:tr>
      <w:tr>
        <w:tc>
          <w:tcPr>
            <w:tcW w:type="dxa" w:w="3200"/>
            <w:tcMar>
              <w:top w:type="dxa" w:w="60"/>
              <w:left w:type="dxa" w:w="100"/>
              <w:bottom w:type="dxa" w:w="60"/>
              <w:right w:type="dxa" w:w="100"/>
            </w:tcMar>
            <w:vAlign w:val="center"/>
          </w:tcPr>
          <w:p>
            <w:r>
              <w:rPr>
                <w:b w:val="false"/>
                <w:bCs w:val="false"/>
                <w:sz w:val="20"/>
                <w:szCs w:val="20"/>
              </w:rPr>
              <w:t xml:space="preserve">ADMIN / OPERATOR / APPLICANT</w:t>
            </w:r>
          </w:p>
        </w:tc>
        <w:tc>
          <w:tcPr>
            <w:tcW w:type="dxa" w:w="6160"/>
            <w:tcMar>
              <w:top w:type="dxa" w:w="60"/>
              <w:left w:type="dxa" w:w="100"/>
              <w:bottom w:type="dxa" w:w="60"/>
              <w:right w:type="dxa" w:w="100"/>
            </w:tcMar>
            <w:vAlign w:val="center"/>
          </w:tcPr>
          <w:p>
            <w:r>
              <w:rPr>
                <w:b w:val="false"/>
                <w:bCs w:val="false"/>
                <w:sz w:val="20"/>
                <w:szCs w:val="20"/>
              </w:rPr>
              <w:t xml:space="preserve">Roles del sistema (ver sección 2.3)</w:t>
            </w:r>
          </w:p>
        </w:tc>
      </w:tr>
      <w:tr>
        <w:tc>
          <w:tcPr>
            <w:tcW w:type="dxa" w:w="3200"/>
            <w:tcMar>
              <w:top w:type="dxa" w:w="60"/>
              <w:left w:type="dxa" w:w="100"/>
              <w:bottom w:type="dxa" w:w="60"/>
              <w:right w:type="dxa" w:w="100"/>
            </w:tcMar>
            <w:vAlign w:val="center"/>
          </w:tcPr>
          <w:p>
            <w:r>
              <w:rPr>
                <w:b w:val="false"/>
                <w:bCs w:val="false"/>
                <w:sz w:val="20"/>
                <w:szCs w:val="20"/>
              </w:rPr>
              <w:t xml:space="preserve">R2</w:t>
            </w:r>
          </w:p>
        </w:tc>
        <w:tc>
          <w:tcPr>
            <w:tcW w:type="dxa" w:w="6160"/>
            <w:tcMar>
              <w:top w:type="dxa" w:w="60"/>
              <w:left w:type="dxa" w:w="100"/>
              <w:bottom w:type="dxa" w:w="60"/>
              <w:right w:type="dxa" w:w="100"/>
            </w:tcMar>
            <w:vAlign w:val="center"/>
          </w:tcPr>
          <w:p>
            <w:r>
              <w:rPr>
                <w:b w:val="false"/>
                <w:bCs w:val="false"/>
                <w:sz w:val="20"/>
                <w:szCs w:val="20"/>
              </w:rPr>
              <w:t xml:space="preserve">Cloudflare R2, almacenamiento de objetos S3-compatible usado para imágenes y PDFs</w:t>
            </w:r>
          </w:p>
        </w:tc>
      </w:tr>
      <w:tr>
        <w:tc>
          <w:tcPr>
            <w:tcW w:type="dxa" w:w="3200"/>
            <w:tcMar>
              <w:top w:type="dxa" w:w="60"/>
              <w:left w:type="dxa" w:w="100"/>
              <w:bottom w:type="dxa" w:w="60"/>
              <w:right w:type="dxa" w:w="100"/>
            </w:tcMar>
            <w:vAlign w:val="center"/>
          </w:tcPr>
          <w:p>
            <w:r>
              <w:rPr>
                <w:b w:val="false"/>
                <w:bCs w:val="false"/>
                <w:sz w:val="20"/>
                <w:szCs w:val="20"/>
              </w:rPr>
              <w:t xml:space="preserve">RENAPER</w:t>
            </w:r>
          </w:p>
        </w:tc>
        <w:tc>
          <w:tcPr>
            <w:tcW w:type="dxa" w:w="6160"/>
            <w:tcMar>
              <w:top w:type="dxa" w:w="60"/>
              <w:left w:type="dxa" w:w="100"/>
              <w:bottom w:type="dxa" w:w="60"/>
              <w:right w:type="dxa" w:w="100"/>
            </w:tcMar>
            <w:vAlign w:val="center"/>
          </w:tcPr>
          <w:p>
            <w:r>
              <w:rPr>
                <w:b w:val="false"/>
                <w:bCs w:val="false"/>
                <w:sz w:val="20"/>
                <w:szCs w:val="20"/>
              </w:rPr>
              <w:t xml:space="preserve">Registro Nacional de las Personas</w:t>
            </w:r>
          </w:p>
        </w:tc>
      </w:tr>
    </w:tbl>
    <w:p>
      <w:pPr>
        <w:pStyle w:val="Heading2"/>
        <w:spacing w:after="150" w:before="300"/>
      </w:pPr>
      <w:r>
        <w:t xml:space="preserve">1.4 Referencias</w:t>
      </w:r>
    </w:p>
    <w:p>
      <w:pPr>
        <w:pStyle w:val="ListParagraph"/>
        <w:numPr>
          <w:ilvl w:val="0"/>
          <w:numId w:val="1"/>
        </w:numPr>
        <w:spacing w:after="60"/>
      </w:pPr>
      <w:r>
        <w:t xml:space="preserve">Declaración de Alcance v4 (documento de cátedra — fuente textual de los criterios de aceptación).</w:t>
      </w:r>
    </w:p>
    <w:p>
      <w:pPr>
        <w:pStyle w:val="ListParagraph"/>
        <w:numPr>
          <w:ilvl w:val="0"/>
          <w:numId w:val="1"/>
        </w:numPr>
        <w:spacing w:after="60"/>
      </w:pPr>
      <w:r>
        <w:t xml:space="preserve">Matriz de Trazabilidad v3 (documento de cátedra).</w:t>
      </w:r>
    </w:p>
    <w:p>
      <w:pPr>
        <w:pStyle w:val="ListParagraph"/>
        <w:numPr>
          <w:ilvl w:val="0"/>
          <w:numId w:val="1"/>
        </w:numPr>
        <w:spacing w:after="60"/>
      </w:pPr>
      <w:r>
        <w:t xml:space="preserve">docs/REQUIREMENTS.md — consolidado de RF-01 a RF-30 y RNF-01 a RNF-11 usado como base de este SRS.</w:t>
      </w:r>
    </w:p>
    <w:p>
      <w:pPr>
        <w:pStyle w:val="ListParagraph"/>
        <w:numPr>
          <w:ilvl w:val="0"/>
          <w:numId w:val="1"/>
        </w:numPr>
        <w:spacing w:after="60"/>
      </w:pPr>
      <w:r>
        <w:t xml:space="preserve">IEEE Std 830-1998, Recommended Practice for Software Requirements Specifications.</w:t>
      </w:r>
    </w:p>
    <w:p>
      <w:pPr>
        <w:pStyle w:val="ListParagraph"/>
        <w:numPr>
          <w:ilvl w:val="0"/>
          <w:numId w:val="1"/>
        </w:numPr>
        <w:spacing w:after="60"/>
      </w:pPr>
      <w:r>
        <w:t xml:space="preserve">Ley 25.326 de Protección de Datos Personales (República Argentina).</w:t>
      </w:r>
    </w:p>
    <w:p>
      <w:pPr>
        <w:pStyle w:val="ListParagraph"/>
        <w:numPr>
          <w:ilvl w:val="0"/>
          <w:numId w:val="1"/>
        </w:numPr>
        <w:spacing w:after="60"/>
      </w:pPr>
      <w:r>
        <w:t xml:space="preserve">Documentación pública de 17TRACK API y MediaPipe Face Mesh.</w:t>
      </w:r>
    </w:p>
    <w:p>
      <w:pPr>
        <w:pStyle w:val="Heading2"/>
        <w:spacing w:after="150" w:before="300"/>
      </w:pPr>
      <w:r>
        <w:t xml:space="preserve">1.5 Visión general del documento</w:t>
      </w:r>
    </w:p>
    <w:p>
      <w:pPr>
        <w:spacing w:after="120"/>
      </w:pPr>
      <w:r>
        <w:t xml:space="preserve">La sección 2 describe el sistema en términos generales: perspectiva, funciones, usuarios, restricciones y supuestos. La sección 3 contiene la especificación detallada: interfaces externas, requisitos funcionales agrupados por módulo (con entradas, proceso, salidas y prioridad) y requisitos no funcionales. Los apéndices incluyen glosario extendido, matriz de trazabilidad y matriz de roles y permisos.</w:t>
      </w:r>
    </w:p>
    <w:p>
      <w:pPr>
        <w:pStyle w:val="Heading1"/>
        <w:spacing w:after="200" w:before="400"/>
      </w:pPr>
      <w:r>
        <w:t xml:space="preserve">2. Descripción general</w:t>
      </w:r>
    </w:p>
    <w:p>
      <w:pPr>
        <w:pStyle w:val="Heading2"/>
        <w:spacing w:after="150" w:before="300"/>
      </w:pPr>
      <w:r>
        <w:t xml:space="preserve">2.1 Perspectiva del producto</w:t>
      </w:r>
    </w:p>
    <w:p>
      <w:pPr>
        <w:spacing w:after="120"/>
      </w:pPr>
      <w:r>
        <w:t xml:space="preserve">El sistema es una aplicación web nueva (no reemplaza ningún sistema previo, ya que la operatoria es en papel). Se compone de:</w:t>
      </w:r>
    </w:p>
    <w:p>
      <w:pPr>
        <w:pStyle w:val="ListParagraph"/>
        <w:numPr>
          <w:ilvl w:val="0"/>
          <w:numId w:val="1"/>
        </w:numPr>
        <w:spacing w:after="60"/>
      </w:pPr>
      <w:r>
        <w:t xml:space="preserve">Frontend: SPA en React, consumida desde navegador por el personal de la fundación (ADMIN / OPERATOR) y, para el portal de autogestión, por los propios beneficiarios (APPLICANT).</w:t>
      </w:r>
    </w:p>
    <w:p>
      <w:pPr>
        <w:pStyle w:val="ListParagraph"/>
        <w:numPr>
          <w:ilvl w:val="0"/>
          <w:numId w:val="1"/>
        </w:numPr>
        <w:spacing w:after="60"/>
      </w:pPr>
      <w:r>
        <w:t xml:space="preserve">Backend: API REST en Spring Boot, stateless, autenticada con JWT.</w:t>
      </w:r>
    </w:p>
    <w:p>
      <w:pPr>
        <w:pStyle w:val="ListParagraph"/>
        <w:numPr>
          <w:ilvl w:val="0"/>
          <w:numId w:val="1"/>
        </w:numPr>
        <w:spacing w:after="60"/>
      </w:pPr>
      <w:r>
        <w:t xml:space="preserve">Base de datos: PostgreSQL, única fuente de verdad transaccional.</w:t>
      </w:r>
    </w:p>
    <w:p>
      <w:pPr>
        <w:pStyle w:val="ListParagraph"/>
        <w:numPr>
          <w:ilvl w:val="0"/>
          <w:numId w:val="1"/>
        </w:numPr>
        <w:spacing w:after="60"/>
      </w:pPr>
      <w:r>
        <w:t xml:space="preserve">Servicios de terceros con los que el backend se integra: RENAPER (SID), verificación local del PDF de ANSES (no es un servicio de terceros, es procesamiento propio), 17TRACK (logística), Cloudflare R2 (almacenamiento de imágenes/PDFs).</w:t>
      </w:r>
    </w:p>
    <w:p>
      <w:pPr>
        <w:pStyle w:val="ListParagraph"/>
        <w:numPr>
          <w:ilvl w:val="0"/>
          <w:numId w:val="1"/>
        </w:numPr>
        <w:spacing w:after="60"/>
      </w:pPr>
      <w:r>
        <w:t xml:space="preserve">Cliente embebido en el navegador: MediaPipe Face Mesh para el probador virtual, ejecutado 100% en el dispositivo del usuario.</w:t>
      </w:r>
    </w:p>
    <w:p>
      <w:pPr>
        <w:spacing w:after="120"/>
      </w:pPr>
      <w:r>
        <w:t xml:space="preserve">Diagrama de contexto: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581977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9775" cy="3209925"/>
                          </a:xfrm>
                          <a:prstGeom prst="rect">
                            <a:avLst/>
                          </a:prstGeom>
                        </pic:spPr>
                      </pic:pic>
                    </a:graphicData>
                  </a:graphic>
                </wp:inline>
              </w:drawing>
            </w:r>
          </w:p>
        </w:tc>
      </w:tr>
    </w:tbl>
    <w:p>
      <w:pPr>
        <w:spacing w:after="200"/>
      </w:pPr>
    </w:p>
    <w:p>
      <w:pPr>
        <w:pStyle w:val="Heading2"/>
        <w:spacing w:after="150" w:before="300"/>
      </w:pPr>
      <w:r>
        <w:t xml:space="preserve">2.2 Funciones del producto</w:t>
      </w:r>
    </w:p>
    <w:p>
      <w:pPr>
        <w:spacing w:after="120"/>
      </w:pPr>
      <w:r>
        <w:t xml:space="preserve">Agrupadas por módulo (correspondencia 1 a 1 con los dominios del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9D9D9" w:color="auto" w:val="clear"/>
            <w:tcMar>
              <w:top w:type="dxa" w:w="60"/>
              <w:left w:type="dxa" w:w="100"/>
              <w:bottom w:type="dxa" w:w="60"/>
              <w:right w:type="dxa" w:w="100"/>
            </w:tcMar>
            <w:vAlign w:val="center"/>
          </w:tcPr>
          <w:p>
            <w:r>
              <w:rPr>
                <w:b/>
                <w:bCs/>
                <w:sz w:val="20"/>
                <w:szCs w:val="20"/>
              </w:rPr>
              <w:t xml:space="preserve">Módulo</w:t>
            </w:r>
          </w:p>
        </w:tc>
        <w:tc>
          <w:tcPr>
            <w:tcW w:type="dxa" w:w="6160"/>
            <w:shd w:fill="D9D9D9" w:color="auto" w:val="clear"/>
            <w:tcMar>
              <w:top w:type="dxa" w:w="60"/>
              <w:left w:type="dxa" w:w="100"/>
              <w:bottom w:type="dxa" w:w="60"/>
              <w:right w:type="dxa" w:w="100"/>
            </w:tcMar>
            <w:vAlign w:val="center"/>
          </w:tcPr>
          <w:p>
            <w:r>
              <w:rPr>
                <w:b/>
                <w:bCs/>
                <w:sz w:val="20"/>
                <w:szCs w:val="20"/>
              </w:rPr>
              <w:t xml:space="preserve">Función principal</w:t>
            </w:r>
          </w:p>
        </w:tc>
      </w:tr>
      <w:tr>
        <w:tc>
          <w:tcPr>
            <w:tcW w:type="dxa" w:w="3200"/>
            <w:tcMar>
              <w:top w:type="dxa" w:w="60"/>
              <w:left w:type="dxa" w:w="100"/>
              <w:bottom w:type="dxa" w:w="60"/>
              <w:right w:type="dxa" w:w="100"/>
            </w:tcMar>
            <w:vAlign w:val="center"/>
          </w:tcPr>
          <w:p>
            <w:r>
              <w:rPr>
                <w:b w:val="false"/>
                <w:bCs w:val="false"/>
                <w:sz w:val="20"/>
                <w:szCs w:val="20"/>
              </w:rPr>
              <w:t xml:space="preserve">Solicitantes y Validación</w:t>
            </w:r>
          </w:p>
        </w:tc>
        <w:tc>
          <w:tcPr>
            <w:tcW w:type="dxa" w:w="6160"/>
            <w:tcMar>
              <w:top w:type="dxa" w:w="60"/>
              <w:left w:type="dxa" w:w="100"/>
              <w:bottom w:type="dxa" w:w="60"/>
              <w:right w:type="dxa" w:w="100"/>
            </w:tcMar>
            <w:vAlign w:val="center"/>
          </w:tcPr>
          <w:p>
            <w:r>
              <w:rPr>
                <w:b w:val="false"/>
                <w:bCs w:val="false"/>
                <w:sz w:val="20"/>
                <w:szCs w:val="20"/>
              </w:rPr>
              <w:t xml:space="preserve">Alta, validación de identidad y de elegibilidad ANSES, receta médica, consulta/edición</w:t>
            </w:r>
          </w:p>
        </w:tc>
      </w:tr>
      <w:tr>
        <w:tc>
          <w:tcPr>
            <w:tcW w:type="dxa" w:w="3200"/>
            <w:tcMar>
              <w:top w:type="dxa" w:w="60"/>
              <w:left w:type="dxa" w:w="100"/>
              <w:bottom w:type="dxa" w:w="60"/>
              <w:right w:type="dxa" w:w="100"/>
            </w:tcMar>
            <w:vAlign w:val="center"/>
          </w:tcPr>
          <w:p>
            <w:r>
              <w:rPr>
                <w:b w:val="false"/>
                <w:bCs w:val="false"/>
                <w:sz w:val="20"/>
                <w:szCs w:val="20"/>
              </w:rPr>
              <w:t xml:space="preserve">Donaciones</w:t>
            </w:r>
          </w:p>
        </w:tc>
        <w:tc>
          <w:tcPr>
            <w:tcW w:type="dxa" w:w="6160"/>
            <w:tcMar>
              <w:top w:type="dxa" w:w="60"/>
              <w:left w:type="dxa" w:w="100"/>
              <w:bottom w:type="dxa" w:w="60"/>
              <w:right w:type="dxa" w:w="100"/>
            </w:tcMar>
            <w:vAlign w:val="center"/>
          </w:tcPr>
          <w:p>
            <w:r>
              <w:rPr>
                <w:b w:val="false"/>
                <w:bCs w:val="false"/>
                <w:sz w:val="20"/>
                <w:szCs w:val="20"/>
              </w:rPr>
              <w:t xml:space="preserve">Alta de donantes, recepción y clasificación de marcos donados</w:t>
            </w:r>
          </w:p>
        </w:tc>
      </w:tr>
      <w:tr>
        <w:tc>
          <w:tcPr>
            <w:tcW w:type="dxa" w:w="3200"/>
            <w:tcMar>
              <w:top w:type="dxa" w:w="60"/>
              <w:left w:type="dxa" w:w="100"/>
              <w:bottom w:type="dxa" w:w="60"/>
              <w:right w:type="dxa" w:w="100"/>
            </w:tcMar>
            <w:vAlign w:val="center"/>
          </w:tcPr>
          <w:p>
            <w:r>
              <w:rPr>
                <w:b w:val="false"/>
                <w:bCs w:val="false"/>
                <w:sz w:val="20"/>
                <w:szCs w:val="20"/>
              </w:rPr>
              <w:t xml:space="preserve">Inventario, Asignación y Trazabilidad</w:t>
            </w:r>
          </w:p>
        </w:tc>
        <w:tc>
          <w:tcPr>
            <w:tcW w:type="dxa" w:w="6160"/>
            <w:tcMar>
              <w:top w:type="dxa" w:w="60"/>
              <w:left w:type="dxa" w:w="100"/>
              <w:bottom w:type="dxa" w:w="60"/>
              <w:right w:type="dxa" w:w="100"/>
            </w:tcMar>
            <w:vAlign w:val="center"/>
          </w:tcPr>
          <w:p>
            <w:r>
              <w:rPr>
                <w:b w:val="false"/>
                <w:bCs w:val="false"/>
                <w:sz w:val="20"/>
                <w:szCs w:val="20"/>
              </w:rPr>
              <w:t xml:space="preserve">Inventario en tiempo real, match receta↔marco, asignación, trazabilidad end-to-end</w:t>
            </w:r>
          </w:p>
        </w:tc>
      </w:tr>
      <w:tr>
        <w:tc>
          <w:tcPr>
            <w:tcW w:type="dxa" w:w="3200"/>
            <w:tcMar>
              <w:top w:type="dxa" w:w="60"/>
              <w:left w:type="dxa" w:w="100"/>
              <w:bottom w:type="dxa" w:w="60"/>
              <w:right w:type="dxa" w:w="100"/>
            </w:tcMar>
            <w:vAlign w:val="center"/>
          </w:tcPr>
          <w:p>
            <w:r>
              <w:rPr>
                <w:b w:val="false"/>
                <w:bCs w:val="false"/>
                <w:sz w:val="20"/>
                <w:szCs w:val="20"/>
              </w:rPr>
              <w:t xml:space="preserve">Probador Virtual</w:t>
            </w:r>
          </w:p>
        </w:tc>
        <w:tc>
          <w:tcPr>
            <w:tcW w:type="dxa" w:w="6160"/>
            <w:tcMar>
              <w:top w:type="dxa" w:w="60"/>
              <w:left w:type="dxa" w:w="100"/>
              <w:bottom w:type="dxa" w:w="60"/>
              <w:right w:type="dxa" w:w="100"/>
            </w:tcMar>
            <w:vAlign w:val="center"/>
          </w:tcPr>
          <w:p>
            <w:r>
              <w:rPr>
                <w:b w:val="false"/>
                <w:bCs w:val="false"/>
                <w:sz w:val="20"/>
                <w:szCs w:val="20"/>
              </w:rPr>
              <w:t xml:space="preserve">Detección facial y superposición 2D del marco sobre foto estática</w:t>
            </w:r>
          </w:p>
        </w:tc>
      </w:tr>
      <w:tr>
        <w:tc>
          <w:tcPr>
            <w:tcW w:type="dxa" w:w="3200"/>
            <w:tcMar>
              <w:top w:type="dxa" w:w="60"/>
              <w:left w:type="dxa" w:w="100"/>
              <w:bottom w:type="dxa" w:w="60"/>
              <w:right w:type="dxa" w:w="100"/>
            </w:tcMar>
            <w:vAlign w:val="center"/>
          </w:tcPr>
          <w:p>
            <w:r>
              <w:rPr>
                <w:b w:val="false"/>
                <w:bCs w:val="false"/>
                <w:sz w:val="20"/>
                <w:szCs w:val="20"/>
              </w:rPr>
              <w:t xml:space="preserve">Turnos y Notificaciones</w:t>
            </w:r>
          </w:p>
        </w:tc>
        <w:tc>
          <w:tcPr>
            <w:tcW w:type="dxa" w:w="6160"/>
            <w:tcMar>
              <w:top w:type="dxa" w:w="60"/>
              <w:left w:type="dxa" w:w="100"/>
              <w:bottom w:type="dxa" w:w="60"/>
              <w:right w:type="dxa" w:w="100"/>
            </w:tcMar>
            <w:vAlign w:val="center"/>
          </w:tcPr>
          <w:p>
            <w:r>
              <w:rPr>
                <w:b w:val="false"/>
                <w:bCs w:val="false"/>
                <w:sz w:val="20"/>
                <w:szCs w:val="20"/>
              </w:rPr>
              <w:t xml:space="preserve">Alta, reprogramación, cancelación y notificación de turnos; autogestión del beneficiario</w:t>
            </w:r>
          </w:p>
        </w:tc>
      </w:tr>
      <w:tr>
        <w:tc>
          <w:tcPr>
            <w:tcW w:type="dxa" w:w="3200"/>
            <w:tcMar>
              <w:top w:type="dxa" w:w="60"/>
              <w:left w:type="dxa" w:w="100"/>
              <w:bottom w:type="dxa" w:w="60"/>
              <w:right w:type="dxa" w:w="100"/>
            </w:tcMar>
            <w:vAlign w:val="center"/>
          </w:tcPr>
          <w:p>
            <w:r>
              <w:rPr>
                <w:b w:val="false"/>
                <w:bCs w:val="false"/>
                <w:sz w:val="20"/>
                <w:szCs w:val="20"/>
              </w:rPr>
              <w:t xml:space="preserve">Logística e Integración 17TRACK</w:t>
            </w:r>
          </w:p>
        </w:tc>
        <w:tc>
          <w:tcPr>
            <w:tcW w:type="dxa" w:w="6160"/>
            <w:tcMar>
              <w:top w:type="dxa" w:w="60"/>
              <w:left w:type="dxa" w:w="100"/>
              <w:bottom w:type="dxa" w:w="60"/>
              <w:right w:type="dxa" w:w="100"/>
            </w:tcMar>
            <w:vAlign w:val="center"/>
          </w:tcPr>
          <w:p>
            <w:r>
              <w:rPr>
                <w:b w:val="false"/>
                <w:bCs w:val="false"/>
                <w:sz w:val="20"/>
                <w:szCs w:val="20"/>
              </w:rPr>
              <w:t xml:space="preserve">Registro y seguimiento de envíos entre sucursales</w:t>
            </w:r>
          </w:p>
        </w:tc>
      </w:tr>
      <w:tr>
        <w:tc>
          <w:tcPr>
            <w:tcW w:type="dxa" w:w="3200"/>
            <w:tcMar>
              <w:top w:type="dxa" w:w="60"/>
              <w:left w:type="dxa" w:w="100"/>
              <w:bottom w:type="dxa" w:w="60"/>
              <w:right w:type="dxa" w:w="100"/>
            </w:tcMar>
            <w:vAlign w:val="center"/>
          </w:tcPr>
          <w:p>
            <w:r>
              <w:rPr>
                <w:b w:val="false"/>
                <w:bCs w:val="false"/>
                <w:sz w:val="20"/>
                <w:szCs w:val="20"/>
              </w:rPr>
              <w:t xml:space="preserve">Panel de Impacto</w:t>
            </w:r>
          </w:p>
        </w:tc>
        <w:tc>
          <w:tcPr>
            <w:tcW w:type="dxa" w:w="6160"/>
            <w:tcMar>
              <w:top w:type="dxa" w:w="60"/>
              <w:left w:type="dxa" w:w="100"/>
              <w:bottom w:type="dxa" w:w="60"/>
              <w:right w:type="dxa" w:w="100"/>
            </w:tcMar>
            <w:vAlign w:val="center"/>
          </w:tcPr>
          <w:p>
            <w:r>
              <w:rPr>
                <w:b w:val="false"/>
                <w:bCs w:val="false"/>
                <w:sz w:val="20"/>
                <w:szCs w:val="20"/>
              </w:rPr>
              <w:t xml:space="preserve">Indicadores agregados de impacto social</w:t>
            </w:r>
          </w:p>
        </w:tc>
      </w:tr>
      <w:tr>
        <w:tc>
          <w:tcPr>
            <w:tcW w:type="dxa" w:w="3200"/>
            <w:tcMar>
              <w:top w:type="dxa" w:w="60"/>
              <w:left w:type="dxa" w:w="100"/>
              <w:bottom w:type="dxa" w:w="60"/>
              <w:right w:type="dxa" w:w="100"/>
            </w:tcMar>
            <w:vAlign w:val="center"/>
          </w:tcPr>
          <w:p>
            <w:r>
              <w:rPr>
                <w:b w:val="false"/>
                <w:bCs w:val="false"/>
                <w:sz w:val="20"/>
                <w:szCs w:val="20"/>
              </w:rPr>
              <w:t xml:space="preserve">Catálogo de Venta</w:t>
            </w:r>
          </w:p>
        </w:tc>
        <w:tc>
          <w:tcPr>
            <w:tcW w:type="dxa" w:w="6160"/>
            <w:tcMar>
              <w:top w:type="dxa" w:w="60"/>
              <w:left w:type="dxa" w:w="100"/>
              <w:bottom w:type="dxa" w:w="60"/>
              <w:right w:type="dxa" w:w="100"/>
            </w:tcMar>
            <w:vAlign w:val="center"/>
          </w:tcPr>
          <w:p>
            <w:r>
              <w:rPr>
                <w:b w:val="false"/>
                <w:bCs w:val="false"/>
                <w:sz w:val="20"/>
                <w:szCs w:val="20"/>
              </w:rPr>
              <w:t xml:space="preserve">Catálogo, venta y gestión de stock de anteojos de sol</w:t>
            </w:r>
          </w:p>
        </w:tc>
      </w:tr>
    </w:tbl>
    <w:p>
      <w:pPr>
        <w:pStyle w:val="Heading2"/>
        <w:spacing w:after="150" w:before="300"/>
      </w:pPr>
      <w:r>
        <w:t xml:space="preserve">2.3 Características de los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shd w:fill="D9D9D9" w:color="auto" w:val="clear"/>
            <w:tcMar>
              <w:top w:type="dxa" w:w="60"/>
              <w:left w:type="dxa" w:w="100"/>
              <w:bottom w:type="dxa" w:w="60"/>
              <w:right w:type="dxa" w:w="100"/>
            </w:tcMar>
            <w:vAlign w:val="center"/>
          </w:tcPr>
          <w:p>
            <w:r>
              <w:rPr>
                <w:b/>
                <w:bCs/>
                <w:sz w:val="20"/>
                <w:szCs w:val="20"/>
              </w:rPr>
              <w:t xml:space="preserve">Rol</w:t>
            </w:r>
          </w:p>
        </w:tc>
        <w:tc>
          <w:tcPr>
            <w:tcW w:type="dxa" w:w="4200"/>
            <w:shd w:fill="D9D9D9" w:color="auto" w:val="clear"/>
            <w:tcMar>
              <w:top w:type="dxa" w:w="60"/>
              <w:left w:type="dxa" w:w="100"/>
              <w:bottom w:type="dxa" w:w="60"/>
              <w:right w:type="dxa" w:w="100"/>
            </w:tcMar>
            <w:vAlign w:val="center"/>
          </w:tcPr>
          <w:p>
            <w:r>
              <w:rPr>
                <w:b/>
                <w:bCs/>
                <w:sz w:val="20"/>
                <w:szCs w:val="20"/>
              </w:rPr>
              <w:t xml:space="preserve">Descripción</w:t>
            </w:r>
          </w:p>
        </w:tc>
        <w:tc>
          <w:tcPr>
            <w:tcW w:type="dxa" w:w="2960"/>
            <w:shd w:fill="D9D9D9" w:color="auto" w:val="clear"/>
            <w:tcMar>
              <w:top w:type="dxa" w:w="60"/>
              <w:left w:type="dxa" w:w="100"/>
              <w:bottom w:type="dxa" w:w="60"/>
              <w:right w:type="dxa" w:w="100"/>
            </w:tcMar>
            <w:vAlign w:val="center"/>
          </w:tcPr>
          <w:p>
            <w:r>
              <w:rPr>
                <w:b/>
                <w:bCs/>
                <w:sz w:val="20"/>
                <w:szCs w:val="20"/>
              </w:rPr>
              <w:t xml:space="preserve">Nivel técnico esperado</w:t>
            </w:r>
          </w:p>
        </w:tc>
      </w:tr>
      <w:tr>
        <w:tc>
          <w:tcPr>
            <w:tcW w:type="dxa" w:w="2200"/>
            <w:tcMar>
              <w:top w:type="dxa" w:w="60"/>
              <w:left w:type="dxa" w:w="100"/>
              <w:bottom w:type="dxa" w:w="60"/>
              <w:right w:type="dxa" w:w="100"/>
            </w:tcMar>
            <w:vAlign w:val="center"/>
          </w:tcPr>
          <w:p>
            <w:r>
              <w:rPr>
                <w:b w:val="false"/>
                <w:bCs w:val="false"/>
                <w:sz w:val="20"/>
                <w:szCs w:val="20"/>
              </w:rPr>
              <w:t xml:space="preserve">ADMIN</w:t>
            </w:r>
          </w:p>
        </w:tc>
        <w:tc>
          <w:tcPr>
            <w:tcW w:type="dxa" w:w="4200"/>
            <w:tcMar>
              <w:top w:type="dxa" w:w="60"/>
              <w:left w:type="dxa" w:w="100"/>
              <w:bottom w:type="dxa" w:w="60"/>
              <w:right w:type="dxa" w:w="100"/>
            </w:tcMar>
            <w:vAlign w:val="center"/>
          </w:tcPr>
          <w:p>
            <w:r>
              <w:rPr>
                <w:b w:val="false"/>
                <w:bCs w:val="false"/>
                <w:sz w:val="20"/>
                <w:szCs w:val="20"/>
              </w:rPr>
              <w:t xml:space="preserve">Administra usuarios, configuración y catálogo de venta. Acceso completo al sistema.</w:t>
            </w:r>
          </w:p>
        </w:tc>
        <w:tc>
          <w:tcPr>
            <w:tcW w:type="dxa" w:w="2960"/>
            <w:tcMar>
              <w:top w:type="dxa" w:w="60"/>
              <w:left w:type="dxa" w:w="100"/>
              <w:bottom w:type="dxa" w:w="60"/>
              <w:right w:type="dxa" w:w="100"/>
            </w:tcMar>
            <w:vAlign w:val="center"/>
          </w:tcPr>
          <w:p>
            <w:r>
              <w:rPr>
                <w:b w:val="false"/>
                <w:bCs w:val="false"/>
                <w:sz w:val="20"/>
                <w:szCs w:val="20"/>
              </w:rPr>
              <w:t xml:space="preserve">Personal de la fundación, no técnico, capacitación ~30 min (RNF-05)</w:t>
            </w:r>
          </w:p>
        </w:tc>
      </w:tr>
      <w:tr>
        <w:tc>
          <w:tcPr>
            <w:tcW w:type="dxa" w:w="2200"/>
            <w:tcMar>
              <w:top w:type="dxa" w:w="60"/>
              <w:left w:type="dxa" w:w="100"/>
              <w:bottom w:type="dxa" w:w="60"/>
              <w:right w:type="dxa" w:w="100"/>
            </w:tcMar>
            <w:vAlign w:val="center"/>
          </w:tcPr>
          <w:p>
            <w:r>
              <w:rPr>
                <w:b w:val="false"/>
                <w:bCs w:val="false"/>
                <w:sz w:val="20"/>
                <w:szCs w:val="20"/>
              </w:rPr>
              <w:t xml:space="preserve">OPERATOR</w:t>
            </w:r>
          </w:p>
        </w:tc>
        <w:tc>
          <w:tcPr>
            <w:tcW w:type="dxa" w:w="4200"/>
            <w:tcMar>
              <w:top w:type="dxa" w:w="60"/>
              <w:left w:type="dxa" w:w="100"/>
              <w:bottom w:type="dxa" w:w="60"/>
              <w:right w:type="dxa" w:w="100"/>
            </w:tcMar>
            <w:vAlign w:val="center"/>
          </w:tcPr>
          <w:p>
            <w:r>
              <w:rPr>
                <w:b w:val="false"/>
                <w:bCs w:val="false"/>
                <w:sz w:val="20"/>
                <w:szCs w:val="20"/>
              </w:rPr>
              <w:t xml:space="preserve">Uso diario: registra solicitantes/donaciones, valida elegibilidad, asigna marcos, gestiona turnos y envíos.</w:t>
            </w:r>
          </w:p>
        </w:tc>
        <w:tc>
          <w:tcPr>
            <w:tcW w:type="dxa" w:w="2960"/>
            <w:tcMar>
              <w:top w:type="dxa" w:w="60"/>
              <w:left w:type="dxa" w:w="100"/>
              <w:bottom w:type="dxa" w:w="60"/>
              <w:right w:type="dxa" w:w="100"/>
            </w:tcMar>
            <w:vAlign w:val="center"/>
          </w:tcPr>
          <w:p>
            <w:r>
              <w:rPr>
                <w:b w:val="false"/>
                <w:bCs w:val="false"/>
                <w:sz w:val="20"/>
                <w:szCs w:val="20"/>
              </w:rPr>
              <w:t xml:space="preserve">Personal de la fundación, no técnico</w:t>
            </w:r>
          </w:p>
        </w:tc>
      </w:tr>
      <w:tr>
        <w:tc>
          <w:tcPr>
            <w:tcW w:type="dxa" w:w="2200"/>
            <w:tcMar>
              <w:top w:type="dxa" w:w="60"/>
              <w:left w:type="dxa" w:w="100"/>
              <w:bottom w:type="dxa" w:w="60"/>
              <w:right w:type="dxa" w:w="100"/>
            </w:tcMar>
            <w:vAlign w:val="center"/>
          </w:tcPr>
          <w:p>
            <w:r>
              <w:rPr>
                <w:b w:val="false"/>
                <w:bCs w:val="false"/>
                <w:sz w:val="20"/>
                <w:szCs w:val="20"/>
              </w:rPr>
              <w:t xml:space="preserve">APPLICANT (beneficiario)</w:t>
            </w:r>
          </w:p>
        </w:tc>
        <w:tc>
          <w:tcPr>
            <w:tcW w:type="dxa" w:w="4200"/>
            <w:tcMar>
              <w:top w:type="dxa" w:w="60"/>
              <w:left w:type="dxa" w:w="100"/>
              <w:bottom w:type="dxa" w:w="60"/>
              <w:right w:type="dxa" w:w="100"/>
            </w:tcMar>
            <w:vAlign w:val="center"/>
          </w:tcPr>
          <w:p>
            <w:r>
              <w:rPr>
                <w:b w:val="false"/>
                <w:bCs w:val="false"/>
                <w:sz w:val="20"/>
                <w:szCs w:val="20"/>
              </w:rPr>
              <w:t xml:space="preserve">Se autogestiona: pide turno, sube comprobante del bono contribución, consulta el estado de su marco, usa el probador virtual.</w:t>
            </w:r>
          </w:p>
        </w:tc>
        <w:tc>
          <w:tcPr>
            <w:tcW w:type="dxa" w:w="2960"/>
            <w:tcMar>
              <w:top w:type="dxa" w:w="60"/>
              <w:left w:type="dxa" w:w="100"/>
              <w:bottom w:type="dxa" w:w="60"/>
              <w:right w:type="dxa" w:w="100"/>
            </w:tcMar>
            <w:vAlign w:val="center"/>
          </w:tcPr>
          <w:p>
            <w:r>
              <w:rPr>
                <w:b w:val="false"/>
                <w:bCs w:val="false"/>
                <w:sz w:val="20"/>
                <w:szCs w:val="20"/>
              </w:rPr>
              <w:t xml:space="preserve">Público general, sin capacitación previa</w:t>
            </w:r>
          </w:p>
        </w:tc>
      </w:tr>
      <w:tr>
        <w:tc>
          <w:tcPr>
            <w:tcW w:type="dxa" w:w="2200"/>
            <w:tcMar>
              <w:top w:type="dxa" w:w="60"/>
              <w:left w:type="dxa" w:w="100"/>
              <w:bottom w:type="dxa" w:w="60"/>
              <w:right w:type="dxa" w:w="100"/>
            </w:tcMar>
            <w:vAlign w:val="center"/>
          </w:tcPr>
          <w:p>
            <w:r>
              <w:rPr>
                <w:b w:val="false"/>
                <w:bCs w:val="false"/>
                <w:sz w:val="20"/>
                <w:szCs w:val="20"/>
              </w:rPr>
              <w:t xml:space="preserve">Comprador del catálogo</w:t>
            </w:r>
          </w:p>
        </w:tc>
        <w:tc>
          <w:tcPr>
            <w:tcW w:type="dxa" w:w="4200"/>
            <w:tcMar>
              <w:top w:type="dxa" w:w="60"/>
              <w:left w:type="dxa" w:w="100"/>
              <w:bottom w:type="dxa" w:w="60"/>
              <w:right w:type="dxa" w:w="100"/>
            </w:tcMar>
            <w:vAlign w:val="center"/>
          </w:tcPr>
          <w:p>
            <w:r>
              <w:rPr>
                <w:b w:val="false"/>
                <w:bCs w:val="false"/>
                <w:sz w:val="20"/>
                <w:szCs w:val="20"/>
              </w:rPr>
              <w:t xml:space="preserve">Navega el catálogo de anteojos de sol. No requiere cuenta para verlo; la venta la registra un OPERATOR/ADMIN.</w:t>
            </w:r>
          </w:p>
        </w:tc>
        <w:tc>
          <w:tcPr>
            <w:tcW w:type="dxa" w:w="2960"/>
            <w:tcMar>
              <w:top w:type="dxa" w:w="60"/>
              <w:left w:type="dxa" w:w="100"/>
              <w:bottom w:type="dxa" w:w="60"/>
              <w:right w:type="dxa" w:w="100"/>
            </w:tcMar>
            <w:vAlign w:val="center"/>
          </w:tcPr>
          <w:p>
            <w:r>
              <w:rPr>
                <w:b w:val="false"/>
                <w:bCs w:val="false"/>
                <w:sz w:val="20"/>
                <w:szCs w:val="20"/>
              </w:rPr>
              <w:t xml:space="preserve">Público general</w:t>
            </w:r>
          </w:p>
        </w:tc>
      </w:tr>
    </w:tbl>
    <w:p>
      <w:pPr>
        <w:pStyle w:val="Heading2"/>
        <w:spacing w:after="150" w:before="300"/>
      </w:pPr>
      <w:r>
        <w:t xml:space="preserve">2.4 Restricciones</w:t>
      </w:r>
    </w:p>
    <w:p>
      <w:pPr>
        <w:pStyle w:val="ListParagraph"/>
        <w:numPr>
          <w:ilvl w:val="0"/>
          <w:numId w:val="1"/>
        </w:numPr>
        <w:spacing w:after="60"/>
      </w:pPr>
      <w:r>
        <w:t xml:space="preserve">El backend debe seguir arquitectura en 4 capas con aislamiento estricto entre dominios (ver Documento de Arquitectura, sección Vistas — Vista de Desarrollo).</w:t>
      </w:r>
    </w:p>
    <w:p>
      <w:pPr>
        <w:pStyle w:val="ListParagraph"/>
        <w:numPr>
          <w:ilvl w:val="0"/>
          <w:numId w:val="1"/>
        </w:numPr>
        <w:spacing w:after="60"/>
      </w:pPr>
      <w:r>
        <w:t xml:space="preserve">El schema de base de datos se gestiona exclusivamente por migraciones Flyway (append-only); no se permite DDL generado por Hibernate.</w:t>
      </w:r>
    </w:p>
    <w:p>
      <w:pPr>
        <w:pStyle w:val="ListParagraph"/>
        <w:numPr>
          <w:ilvl w:val="0"/>
          <w:numId w:val="1"/>
        </w:numPr>
        <w:spacing w:after="60"/>
      </w:pPr>
      <w:r>
        <w:t xml:space="preserve">No se persisten binarios en PostgreSQL: toda imagen/PDF va a Cloudflare R2 y solo su URL se guarda en base de datos (RNF-07).</w:t>
      </w:r>
    </w:p>
    <w:p>
      <w:pPr>
        <w:pStyle w:val="ListParagraph"/>
        <w:numPr>
          <w:ilvl w:val="0"/>
          <w:numId w:val="1"/>
        </w:numPr>
        <w:spacing w:after="60"/>
      </w:pPr>
      <w:r>
        <w:t xml:space="preserve">El probador virtual no puede depender de un servidor de procesamiento externo (RNF-04): debe funcionar con superposición 2D sobre foto estática, compatible con dispositivos de gama baja.</w:t>
      </w:r>
    </w:p>
    <w:p>
      <w:pPr>
        <w:pStyle w:val="ListParagraph"/>
        <w:numPr>
          <w:ilvl w:val="0"/>
          <w:numId w:val="1"/>
        </w:numPr>
        <w:spacing w:after="60"/>
      </w:pPr>
      <w:r>
        <w:t xml:space="preserve">El plan gratuito de 17TRACK limita a 100 envíos/mes; el sistema no debe asumir un volumen mayor sin migrar de plan.</w:t>
      </w:r>
    </w:p>
    <w:p>
      <w:pPr>
        <w:pStyle w:val="ListParagraph"/>
        <w:numPr>
          <w:ilvl w:val="0"/>
          <w:numId w:val="1"/>
        </w:numPr>
        <w:spacing w:after="60"/>
      </w:pPr>
      <w:r>
        <w:t xml:space="preserve">Idioma del código: inglés. Idioma de la interfaz y de los mensajes al usuario final: español (ver CLAUDE.md del proyecto).</w:t>
      </w:r>
    </w:p>
    <w:p>
      <w:pPr>
        <w:pStyle w:val="Heading2"/>
        <w:spacing w:after="150" w:before="300"/>
      </w:pPr>
      <w:r>
        <w:t xml:space="preserve">2.5 Supuestos y dependencias</w:t>
      </w:r>
    </w:p>
    <w:p>
      <w:pPr>
        <w:pStyle w:val="ListParagraph"/>
        <w:numPr>
          <w:ilvl w:val="0"/>
          <w:numId w:val="1"/>
        </w:numPr>
        <w:spacing w:after="60"/>
      </w:pPr>
      <w:r>
        <w:t xml:space="preserve">Se asume que la fundación gestiona por fuera del sistema el convenio de confronte de datos con RENAPER (trámite TAD, PT-1.2.7 de la EDT); el sistema solo consume el servicio una vez habilitado.</w:t>
      </w:r>
    </w:p>
    <w:p>
      <w:pPr>
        <w:pStyle w:val="ListParagraph"/>
        <w:numPr>
          <w:ilvl w:val="0"/>
          <w:numId w:val="1"/>
        </w:numPr>
        <w:spacing w:after="60"/>
      </w:pPr>
      <w:r>
        <w:t xml:space="preserve">Se asume disponibilidad de conectividad a internet en el punto de atención para consultar RENAPER y 17TRACK; ante indisponibilidad de RENAPER, el sistema depende de que el operador ejecute la validación presencial documentada como alternativa (RF-06).</w:t>
      </w:r>
    </w:p>
    <w:p>
      <w:pPr>
        <w:pStyle w:val="ListParagraph"/>
        <w:numPr>
          <w:ilvl w:val="0"/>
          <w:numId w:val="1"/>
        </w:numPr>
        <w:spacing w:after="60"/>
      </w:pPr>
      <w:r>
        <w:rPr>
          <w:b/>
          <w:bCs/>
          <w:i/>
          <w:iCs/>
        </w:rPr>
        <w:t xml:space="preserve">Aclaración sobre el estado de RF-02/RF-06: </w:t>
      </w:r>
      <w:r>
        <w:t xml:space="preserve">la integración con el SID de RENAPER (RF-02) depende del convenio TAD mencionado arriba, y por eso esta entrega no incluye un RenaperClient propio por decisión de alcance — no es una funcionalidad pendiente, es la decisión ya tomada en 1.2 (“Fuera de alcance”) y en CLAUDE.md del proyecto. La validación presencial alternativa (RF-06), en cambio, sí está especificada como una funcionalidad del sistema (que el operador confirme la identidad y quede trazado quién lo hizo), y esa sí es un pendiente real: el código actual no tiene ningún endpoint ni control de interfaz que la dispare, identityValidated permanece en false para todo solicitante, y hoy el operador verifica el DNI físico fuera del sistema, sin dejar registro digital. Detalle de estado en el Apéndice B.</w:t>
      </w:r>
    </w:p>
    <w:p>
      <w:pPr>
        <w:pStyle w:val="ListParagraph"/>
        <w:numPr>
          <w:ilvl w:val="0"/>
          <w:numId w:val="1"/>
        </w:numPr>
        <w:spacing w:after="60"/>
      </w:pPr>
      <w:r>
        <w:t xml:space="preserve">Se asume que el monto del bono contribución y la validez del comprobante los verifica un humano (operador), no el sistema — el sistema solo garantiza que no se confirme un turno sin que el operador haya revisado y aprobado el comprobante cargado.</w:t>
      </w:r>
    </w:p>
    <w:p>
      <w:pPr>
        <w:pStyle w:val="ListParagraph"/>
        <w:numPr>
          <w:ilvl w:val="0"/>
          <w:numId w:val="1"/>
        </w:numPr>
        <w:spacing w:after="60"/>
      </w:pPr>
      <w:r>
        <w:t xml:space="preserve">Depende de que Cloudflare R2 y 17TRACK estén operativos para sus respectivas funciones; ambos son servicios externos fuera del control del equipo de desarrollo.</w:t>
      </w:r>
    </w:p>
    <w:p>
      <w:pPr>
        <w:pStyle w:val="Heading1"/>
        <w:spacing w:after="200" w:before="400"/>
      </w:pPr>
      <w:r>
        <w:t xml:space="preserve">3. Requisitos específicos</w:t>
      </w:r>
    </w:p>
    <w:p>
      <w:pPr>
        <w:pStyle w:val="Heading2"/>
        <w:spacing w:after="150" w:before="300"/>
      </w:pPr>
      <w:r>
        <w:t xml:space="preserve">3.1 Requisitos de interfaces externas</w:t>
      </w:r>
    </w:p>
    <w:p>
      <w:pPr>
        <w:pStyle w:val="Heading3"/>
        <w:spacing w:after="120" w:before="240"/>
      </w:pPr>
      <w:r>
        <w:t xml:space="preserve">3.1.1 Interfaces de usuario</w:t>
      </w:r>
    </w:p>
    <w:p>
      <w:pPr>
        <w:pStyle w:val="ListParagraph"/>
        <w:numPr>
          <w:ilvl w:val="0"/>
          <w:numId w:val="1"/>
        </w:numPr>
        <w:spacing w:after="60"/>
      </w:pPr>
      <w:r>
        <w:t xml:space="preserve">Aplicación web responsive, operable desde navegadores de escritorio y dispositivos móviles modernos (RNF-11).</w:t>
      </w:r>
    </w:p>
    <w:p>
      <w:pPr>
        <w:pStyle w:val="ListParagraph"/>
        <w:numPr>
          <w:ilvl w:val="0"/>
          <w:numId w:val="1"/>
        </w:numPr>
        <w:spacing w:after="60"/>
      </w:pPr>
      <w:r>
        <w:t xml:space="preserve">Formularios con validación en el borde (cliente) y mensajes de error en español, sin exponer detalles internos (stack traces, nombres de tablas).</w:t>
      </w:r>
    </w:p>
    <w:p>
      <w:pPr>
        <w:pStyle w:val="ListParagraph"/>
        <w:numPr>
          <w:ilvl w:val="0"/>
          <w:numId w:val="1"/>
        </w:numPr>
        <w:spacing w:after="60"/>
      </w:pPr>
      <w:r>
        <w:t xml:space="preserve">Navegación diferenciada por rol: menú y rutas visibles según ADMIN / OPERATOR / APPLICANT.</w:t>
      </w:r>
    </w:p>
    <w:p>
      <w:pPr>
        <w:pStyle w:val="ListParagraph"/>
        <w:numPr>
          <w:ilvl w:val="0"/>
          <w:numId w:val="1"/>
        </w:numPr>
        <w:spacing w:after="60"/>
      </w:pPr>
      <w:r>
        <w:t xml:space="preserve">Convención de fecha única DD/MM/YYYY (ART) en toda la interfaz.</w:t>
      </w:r>
    </w:p>
    <w:p>
      <w:pPr>
        <w:pStyle w:val="Heading3"/>
        <w:spacing w:after="120" w:before="240"/>
      </w:pPr>
      <w:r>
        <w:t xml:space="preserve">3.1.2 Interfaces de hardware</w:t>
      </w:r>
    </w:p>
    <w:p>
      <w:pPr>
        <w:pStyle w:val="ListParagraph"/>
        <w:numPr>
          <w:ilvl w:val="0"/>
          <w:numId w:val="1"/>
        </w:numPr>
        <w:spacing w:after="60"/>
      </w:pPr>
      <w:r>
        <w:t xml:space="preserve">Cámara del dispositivo del usuario para captura de foto (alta de marcos, probador virtual), acceso mediado por API estándar del navegador (getUserMedia); sin hardware propietario.</w:t>
      </w:r>
    </w:p>
    <w:p>
      <w:pPr>
        <w:pStyle w:val="ListParagraph"/>
        <w:numPr>
          <w:ilvl w:val="0"/>
          <w:numId w:val="1"/>
        </w:numPr>
        <w:spacing w:after="60"/>
      </w:pPr>
      <w:r>
        <w:t xml:space="preserve">Sin requerimiento de hardware específico del lado servidor más allá de lo provisto por el hosting (Render).</w:t>
      </w:r>
    </w:p>
    <w:p>
      <w:pPr>
        <w:pStyle w:val="Heading3"/>
        <w:spacing w:after="120" w:before="240"/>
      </w:pPr>
      <w:r>
        <w:t xml:space="preserve">3.1.3 Interfaces de software (servicios de terceros)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200"/>
        <w:gridCol w:w="1960"/>
      </w:tblGrid>
      <w:tr>
        <w:trPr>
          <w:tblHeader/>
        </w:trPr>
        <w:tc>
          <w:tcPr>
            <w:tcW w:type="dxa" w:w="2000"/>
            <w:shd w:fill="D9D9D9" w:color="auto" w:val="clear"/>
            <w:tcMar>
              <w:top w:type="dxa" w:w="60"/>
              <w:left w:type="dxa" w:w="100"/>
              <w:bottom w:type="dxa" w:w="60"/>
              <w:right w:type="dxa" w:w="100"/>
            </w:tcMar>
            <w:vAlign w:val="center"/>
          </w:tcPr>
          <w:p>
            <w:r>
              <w:rPr>
                <w:b/>
                <w:bCs/>
                <w:sz w:val="20"/>
                <w:szCs w:val="20"/>
              </w:rPr>
              <w:t xml:space="preserve">Servicio</w:t>
            </w:r>
          </w:p>
        </w:tc>
        <w:tc>
          <w:tcPr>
            <w:tcW w:type="dxa" w:w="3200"/>
            <w:shd w:fill="D9D9D9" w:color="auto" w:val="clear"/>
            <w:tcMar>
              <w:top w:type="dxa" w:w="60"/>
              <w:left w:type="dxa" w:w="100"/>
              <w:bottom w:type="dxa" w:w="60"/>
              <w:right w:type="dxa" w:w="100"/>
            </w:tcMar>
            <w:vAlign w:val="center"/>
          </w:tcPr>
          <w:p>
            <w:r>
              <w:rPr>
                <w:b/>
                <w:bCs/>
                <w:sz w:val="20"/>
                <w:szCs w:val="20"/>
              </w:rPr>
              <w:t xml:space="preserve">Propósito</w:t>
            </w:r>
          </w:p>
        </w:tc>
        <w:tc>
          <w:tcPr>
            <w:tcW w:type="dxa" w:w="2200"/>
            <w:shd w:fill="D9D9D9" w:color="auto" w:val="clear"/>
            <w:tcMar>
              <w:top w:type="dxa" w:w="60"/>
              <w:left w:type="dxa" w:w="100"/>
              <w:bottom w:type="dxa" w:w="60"/>
              <w:right w:type="dxa" w:w="100"/>
            </w:tcMar>
            <w:vAlign w:val="center"/>
          </w:tcPr>
          <w:p>
            <w:r>
              <w:rPr>
                <w:b/>
                <w:bCs/>
                <w:sz w:val="20"/>
                <w:szCs w:val="20"/>
              </w:rPr>
              <w:t xml:space="preserve">Protocolo</w:t>
            </w:r>
          </w:p>
        </w:tc>
        <w:tc>
          <w:tcPr>
            <w:tcW w:type="dxa" w:w="1960"/>
            <w:shd w:fill="D9D9D9" w:color="auto" w:val="clear"/>
            <w:tcMar>
              <w:top w:type="dxa" w:w="60"/>
              <w:left w:type="dxa" w:w="100"/>
              <w:bottom w:type="dxa" w:w="60"/>
              <w:right w:type="dxa" w:w="100"/>
            </w:tcMar>
            <w:vAlign w:val="center"/>
          </w:tcPr>
          <w:p>
            <w:r>
              <w:rPr>
                <w:b/>
                <w:bCs/>
                <w:sz w:val="20"/>
                <w:szCs w:val="20"/>
              </w:rPr>
              <w:t xml:space="preserve">Notas</w:t>
            </w:r>
          </w:p>
        </w:tc>
      </w:tr>
      <w:tr>
        <w:tc>
          <w:tcPr>
            <w:tcW w:type="dxa" w:w="2000"/>
            <w:tcMar>
              <w:top w:type="dxa" w:w="60"/>
              <w:left w:type="dxa" w:w="100"/>
              <w:bottom w:type="dxa" w:w="60"/>
              <w:right w:type="dxa" w:w="100"/>
            </w:tcMar>
            <w:vAlign w:val="center"/>
          </w:tcPr>
          <w:p>
            <w:r>
              <w:rPr>
                <w:b w:val="false"/>
                <w:bCs w:val="false"/>
                <w:sz w:val="20"/>
                <w:szCs w:val="20"/>
              </w:rPr>
              <w:t xml:space="preserve">RENAPER — SID</w:t>
            </w:r>
          </w:p>
        </w:tc>
        <w:tc>
          <w:tcPr>
            <w:tcW w:type="dxa" w:w="3200"/>
            <w:tcMar>
              <w:top w:type="dxa" w:w="60"/>
              <w:left w:type="dxa" w:w="100"/>
              <w:bottom w:type="dxa" w:w="60"/>
              <w:right w:type="dxa" w:w="100"/>
            </w:tcMar>
            <w:vAlign w:val="center"/>
          </w:tcPr>
          <w:p>
            <w:r>
              <w:rPr>
                <w:b w:val="false"/>
                <w:bCs w:val="false"/>
                <w:sz w:val="20"/>
                <w:szCs w:val="20"/>
              </w:rPr>
              <w:t xml:space="preserve">Validar identidad del solicitante a partir del DNI (RF-02)</w:t>
            </w:r>
          </w:p>
        </w:tc>
        <w:tc>
          <w:tcPr>
            <w:tcW w:type="dxa" w:w="2200"/>
            <w:tcMar>
              <w:top w:type="dxa" w:w="60"/>
              <w:left w:type="dxa" w:w="100"/>
              <w:bottom w:type="dxa" w:w="60"/>
              <w:right w:type="dxa" w:w="100"/>
            </w:tcMar>
            <w:vAlign w:val="center"/>
          </w:tcPr>
          <w:p>
            <w:r>
              <w:rPr>
                <w:b w:val="false"/>
                <w:bCs w:val="false"/>
                <w:sz w:val="20"/>
                <w:szCs w:val="20"/>
              </w:rPr>
              <w:t xml:space="preserve">API vía convenio de confronte de datos (TAD)</w:t>
            </w:r>
          </w:p>
        </w:tc>
        <w:tc>
          <w:tcPr>
            <w:tcW w:type="dxa" w:w="1960"/>
            <w:tcMar>
              <w:top w:type="dxa" w:w="60"/>
              <w:left w:type="dxa" w:w="100"/>
              <w:bottom w:type="dxa" w:w="60"/>
              <w:right w:type="dxa" w:w="100"/>
            </w:tcMar>
            <w:vAlign w:val="center"/>
          </w:tcPr>
          <w:p>
            <w:r>
              <w:rPr>
                <w:b w:val="false"/>
                <w:bCs w:val="false"/>
                <w:sz w:val="20"/>
                <w:szCs w:val="20"/>
              </w:rPr>
              <w:t xml:space="preserve">Cliente aislado RenaperClient; fallback presencial si no disponible (RF-06)</w:t>
            </w:r>
          </w:p>
        </w:tc>
      </w:tr>
      <w:tr>
        <w:tc>
          <w:tcPr>
            <w:tcW w:type="dxa" w:w="2000"/>
            <w:tcMar>
              <w:top w:type="dxa" w:w="60"/>
              <w:left w:type="dxa" w:w="100"/>
              <w:bottom w:type="dxa" w:w="60"/>
              <w:right w:type="dxa" w:w="100"/>
            </w:tcMar>
            <w:vAlign w:val="center"/>
          </w:tcPr>
          <w:p>
            <w:r>
              <w:rPr>
                <w:b w:val="false"/>
                <w:bCs w:val="false"/>
                <w:sz w:val="20"/>
                <w:szCs w:val="20"/>
              </w:rPr>
              <w:t xml:space="preserve">ANSES (verificación local)</w:t>
            </w:r>
          </w:p>
        </w:tc>
        <w:tc>
          <w:tcPr>
            <w:tcW w:type="dxa" w:w="3200"/>
            <w:tcMar>
              <w:top w:type="dxa" w:w="60"/>
              <w:left w:type="dxa" w:w="100"/>
              <w:bottom w:type="dxa" w:w="60"/>
              <w:right w:type="dxa" w:w="100"/>
            </w:tcMar>
            <w:vAlign w:val="center"/>
          </w:tcPr>
          <w:p>
            <w:r>
              <w:rPr>
                <w:b w:val="false"/>
                <w:bCs w:val="false"/>
                <w:sz w:val="20"/>
                <w:szCs w:val="20"/>
              </w:rPr>
              <w:t xml:space="preserve">Extraer CUIL y fecha de emisión del código de barras del PDF de Certificación Negativa (RF-04, RF-05)</w:t>
            </w:r>
          </w:p>
        </w:tc>
        <w:tc>
          <w:tcPr>
            <w:tcW w:type="dxa" w:w="2200"/>
            <w:tcMar>
              <w:top w:type="dxa" w:w="60"/>
              <w:left w:type="dxa" w:w="100"/>
              <w:bottom w:type="dxa" w:w="60"/>
              <w:right w:type="dxa" w:w="100"/>
            </w:tcMar>
            <w:vAlign w:val="center"/>
          </w:tcPr>
          <w:p>
            <w:r>
              <w:rPr>
                <w:b w:val="false"/>
                <w:bCs w:val="false"/>
                <w:sz w:val="20"/>
                <w:szCs w:val="20"/>
              </w:rPr>
              <w:t xml:space="preserve">Procesamiento local del PDF, no hay API pública</w:t>
            </w:r>
          </w:p>
        </w:tc>
        <w:tc>
          <w:tcPr>
            <w:tcW w:type="dxa" w:w="1960"/>
            <w:tcMar>
              <w:top w:type="dxa" w:w="60"/>
              <w:left w:type="dxa" w:w="100"/>
              <w:bottom w:type="dxa" w:w="60"/>
              <w:right w:type="dxa" w:w="100"/>
            </w:tcMar>
            <w:vAlign w:val="center"/>
          </w:tcPr>
          <w:p>
            <w:r>
              <w:rPr>
                <w:b w:val="false"/>
                <w:bCs w:val="false"/>
                <w:sz w:val="20"/>
                <w:szCs w:val="20"/>
              </w:rPr>
              <w:t xml:space="preserve">No es un cliente de terceros; vive en business/applicants</w:t>
            </w:r>
          </w:p>
        </w:tc>
      </w:tr>
      <w:tr>
        <w:tc>
          <w:tcPr>
            <w:tcW w:type="dxa" w:w="2000"/>
            <w:tcMar>
              <w:top w:type="dxa" w:w="60"/>
              <w:left w:type="dxa" w:w="100"/>
              <w:bottom w:type="dxa" w:w="60"/>
              <w:right w:type="dxa" w:w="100"/>
            </w:tcMar>
            <w:vAlign w:val="center"/>
          </w:tcPr>
          <w:p>
            <w:r>
              <w:rPr>
                <w:b w:val="false"/>
                <w:bCs w:val="false"/>
                <w:sz w:val="20"/>
                <w:szCs w:val="20"/>
              </w:rPr>
              <w:t xml:space="preserve">17TRACK</w:t>
            </w:r>
          </w:p>
        </w:tc>
        <w:tc>
          <w:tcPr>
            <w:tcW w:type="dxa" w:w="3200"/>
            <w:tcMar>
              <w:top w:type="dxa" w:w="60"/>
              <w:left w:type="dxa" w:w="100"/>
              <w:bottom w:type="dxa" w:w="60"/>
              <w:right w:type="dxa" w:w="100"/>
            </w:tcMar>
            <w:vAlign w:val="center"/>
          </w:tcPr>
          <w:p>
            <w:r>
              <w:rPr>
                <w:b w:val="false"/>
                <w:bCs w:val="false"/>
                <w:sz w:val="20"/>
                <w:szCs w:val="20"/>
              </w:rPr>
              <w:t xml:space="preserve">Registrar y seguir envíos entre sucursales por Vía Cargo (RF-23, RF-24)</w:t>
            </w:r>
          </w:p>
        </w:tc>
        <w:tc>
          <w:tcPr>
            <w:tcW w:type="dxa" w:w="2200"/>
            <w:tcMar>
              <w:top w:type="dxa" w:w="60"/>
              <w:left w:type="dxa" w:w="100"/>
              <w:bottom w:type="dxa" w:w="60"/>
              <w:right w:type="dxa" w:w="100"/>
            </w:tcMar>
            <w:vAlign w:val="center"/>
          </w:tcPr>
          <w:p>
            <w:r>
              <w:rPr>
                <w:b w:val="false"/>
                <w:bCs w:val="false"/>
                <w:sz w:val="20"/>
                <w:szCs w:val="20"/>
              </w:rPr>
              <w:t xml:space="preserve">REST /register + webhook push</w:t>
            </w:r>
          </w:p>
        </w:tc>
        <w:tc>
          <w:tcPr>
            <w:tcW w:type="dxa" w:w="1960"/>
            <w:tcMar>
              <w:top w:type="dxa" w:w="60"/>
              <w:left w:type="dxa" w:w="100"/>
              <w:bottom w:type="dxa" w:w="60"/>
              <w:right w:type="dxa" w:w="100"/>
            </w:tcMar>
            <w:vAlign w:val="center"/>
          </w:tcPr>
          <w:p>
            <w:r>
              <w:rPr>
                <w:b w:val="false"/>
                <w:bCs w:val="false"/>
                <w:sz w:val="20"/>
                <w:szCs w:val="20"/>
              </w:rPr>
              <w:t xml:space="preserve">Cliente aislado TrackingClient; tier gratuito, 100 envíos/mes</w:t>
            </w:r>
          </w:p>
        </w:tc>
      </w:tr>
      <w:tr>
        <w:tc>
          <w:tcPr>
            <w:tcW w:type="dxa" w:w="2000"/>
            <w:tcMar>
              <w:top w:type="dxa" w:w="60"/>
              <w:left w:type="dxa" w:w="100"/>
              <w:bottom w:type="dxa" w:w="60"/>
              <w:right w:type="dxa" w:w="100"/>
            </w:tcMar>
            <w:vAlign w:val="center"/>
          </w:tcPr>
          <w:p>
            <w:r>
              <w:rPr>
                <w:b w:val="false"/>
                <w:bCs w:val="false"/>
                <w:sz w:val="20"/>
                <w:szCs w:val="20"/>
              </w:rPr>
              <w:t xml:space="preserve">Cloudflare R2</w:t>
            </w:r>
          </w:p>
        </w:tc>
        <w:tc>
          <w:tcPr>
            <w:tcW w:type="dxa" w:w="3200"/>
            <w:tcMar>
              <w:top w:type="dxa" w:w="60"/>
              <w:left w:type="dxa" w:w="100"/>
              <w:bottom w:type="dxa" w:w="60"/>
              <w:right w:type="dxa" w:w="100"/>
            </w:tcMar>
            <w:vAlign w:val="center"/>
          </w:tcPr>
          <w:p>
            <w:r>
              <w:rPr>
                <w:b w:val="false"/>
                <w:bCs w:val="false"/>
                <w:sz w:val="20"/>
                <w:szCs w:val="20"/>
              </w:rPr>
              <w:t xml:space="preserve">Almacenar imágenes de marcos/catálogo y PDFs (recetas, ANSES, comprobantes)</w:t>
            </w:r>
          </w:p>
        </w:tc>
        <w:tc>
          <w:tcPr>
            <w:tcW w:type="dxa" w:w="2200"/>
            <w:tcMar>
              <w:top w:type="dxa" w:w="60"/>
              <w:left w:type="dxa" w:w="100"/>
              <w:bottom w:type="dxa" w:w="60"/>
              <w:right w:type="dxa" w:w="100"/>
            </w:tcMar>
            <w:vAlign w:val="center"/>
          </w:tcPr>
          <w:p>
            <w:r>
              <w:rPr>
                <w:b w:val="false"/>
                <w:bCs w:val="false"/>
                <w:sz w:val="20"/>
                <w:szCs w:val="20"/>
              </w:rPr>
              <w:t xml:space="preserve">API S3-compatible</w:t>
            </w:r>
          </w:p>
        </w:tc>
        <w:tc>
          <w:tcPr>
            <w:tcW w:type="dxa" w:w="1960"/>
            <w:tcMar>
              <w:top w:type="dxa" w:w="60"/>
              <w:left w:type="dxa" w:w="100"/>
              <w:bottom w:type="dxa" w:w="60"/>
              <w:right w:type="dxa" w:w="100"/>
            </w:tcMar>
            <w:vAlign w:val="center"/>
          </w:tcPr>
          <w:p>
            <w:r>
              <w:rPr>
                <w:b w:val="false"/>
                <w:bCs w:val="false"/>
                <w:sz w:val="20"/>
                <w:szCs w:val="20"/>
              </w:rPr>
              <w:t xml:space="preserve">Solo se persiste la URL en PostgreSQL (RNF-07)</w:t>
            </w:r>
          </w:p>
        </w:tc>
      </w:tr>
      <w:tr>
        <w:tc>
          <w:tcPr>
            <w:tcW w:type="dxa" w:w="2000"/>
            <w:tcMar>
              <w:top w:type="dxa" w:w="60"/>
              <w:left w:type="dxa" w:w="100"/>
              <w:bottom w:type="dxa" w:w="60"/>
              <w:right w:type="dxa" w:w="100"/>
            </w:tcMar>
            <w:vAlign w:val="center"/>
          </w:tcPr>
          <w:p>
            <w:r>
              <w:rPr>
                <w:b w:val="false"/>
                <w:bCs w:val="false"/>
                <w:sz w:val="20"/>
                <w:szCs w:val="20"/>
              </w:rPr>
              <w:t xml:space="preserve">MediaPipe Face Mesh</w:t>
            </w:r>
          </w:p>
        </w:tc>
        <w:tc>
          <w:tcPr>
            <w:tcW w:type="dxa" w:w="3200"/>
            <w:tcMar>
              <w:top w:type="dxa" w:w="60"/>
              <w:left w:type="dxa" w:w="100"/>
              <w:bottom w:type="dxa" w:w="60"/>
              <w:right w:type="dxa" w:w="100"/>
            </w:tcMar>
            <w:vAlign w:val="center"/>
          </w:tcPr>
          <w:p>
            <w:r>
              <w:rPr>
                <w:b w:val="false"/>
                <w:bCs w:val="false"/>
                <w:sz w:val="20"/>
                <w:szCs w:val="20"/>
              </w:rPr>
              <w:t xml:space="preserve">Detección de rostro en el navegador para el probador virtual (RF-17)</w:t>
            </w:r>
          </w:p>
        </w:tc>
        <w:tc>
          <w:tcPr>
            <w:tcW w:type="dxa" w:w="2200"/>
            <w:tcMar>
              <w:top w:type="dxa" w:w="60"/>
              <w:left w:type="dxa" w:w="100"/>
              <w:bottom w:type="dxa" w:w="60"/>
              <w:right w:type="dxa" w:w="100"/>
            </w:tcMar>
            <w:vAlign w:val="center"/>
          </w:tcPr>
          <w:p>
            <w:r>
              <w:rPr>
                <w:b w:val="false"/>
                <w:bCs w:val="false"/>
                <w:sz w:val="20"/>
                <w:szCs w:val="20"/>
              </w:rPr>
              <w:t xml:space="preserve">Librería cliente (WASM/JS), sin llamada a servidor</w:t>
            </w:r>
          </w:p>
        </w:tc>
        <w:tc>
          <w:tcPr>
            <w:tcW w:type="dxa" w:w="1960"/>
            <w:tcMar>
              <w:top w:type="dxa" w:w="60"/>
              <w:left w:type="dxa" w:w="100"/>
              <w:bottom w:type="dxa" w:w="60"/>
              <w:right w:type="dxa" w:w="100"/>
            </w:tcMar>
            <w:vAlign w:val="center"/>
          </w:tcPr>
          <w:p>
            <w:r>
              <w:rPr>
                <w:b w:val="false"/>
                <w:bCs w:val="false"/>
                <w:sz w:val="20"/>
                <w:szCs w:val="20"/>
              </w:rPr>
              <w:t xml:space="preserve">Ejecuta 100% en el dispositivo del usuario</w:t>
            </w:r>
          </w:p>
        </w:tc>
      </w:tr>
      <w:tr>
        <w:tc>
          <w:tcPr>
            <w:tcW w:type="dxa" w:w="2000"/>
            <w:tcMar>
              <w:top w:type="dxa" w:w="60"/>
              <w:left w:type="dxa" w:w="100"/>
              <w:bottom w:type="dxa" w:w="60"/>
              <w:right w:type="dxa" w:w="100"/>
            </w:tcMar>
            <w:vAlign w:val="center"/>
          </w:tcPr>
          <w:p>
            <w:r>
              <w:rPr>
                <w:b w:val="false"/>
                <w:bCs w:val="false"/>
                <w:sz w:val="20"/>
                <w:szCs w:val="20"/>
              </w:rPr>
              <w:t xml:space="preserve">SMTP (email)</w:t>
            </w:r>
          </w:p>
        </w:tc>
        <w:tc>
          <w:tcPr>
            <w:tcW w:type="dxa" w:w="3200"/>
            <w:tcMar>
              <w:top w:type="dxa" w:w="60"/>
              <w:left w:type="dxa" w:w="100"/>
              <w:bottom w:type="dxa" w:w="60"/>
              <w:right w:type="dxa" w:w="100"/>
            </w:tcMar>
            <w:vAlign w:val="center"/>
          </w:tcPr>
          <w:p>
            <w:r>
              <w:rPr>
                <w:b w:val="false"/>
                <w:bCs w:val="false"/>
                <w:sz w:val="20"/>
                <w:szCs w:val="20"/>
              </w:rPr>
              <w:t xml:space="preserve">Notificar al beneficiario los eventos de su turno — confirmación, reprogramación, cancelación (RF-22)</w:t>
            </w:r>
          </w:p>
        </w:tc>
        <w:tc>
          <w:tcPr>
            <w:tcW w:type="dxa" w:w="2200"/>
            <w:tcMar>
              <w:top w:type="dxa" w:w="60"/>
              <w:left w:type="dxa" w:w="100"/>
              <w:bottom w:type="dxa" w:w="60"/>
              <w:right w:type="dxa" w:w="100"/>
            </w:tcMar>
            <w:vAlign w:val="center"/>
          </w:tcPr>
          <w:p>
            <w:r>
              <w:rPr>
                <w:b w:val="false"/>
                <w:bCs w:val="false"/>
                <w:sz w:val="20"/>
                <w:szCs w:val="20"/>
              </w:rPr>
              <w:t xml:space="preserve">SMTP (spring.mail / JavaMailSender)</w:t>
            </w:r>
          </w:p>
        </w:tc>
        <w:tc>
          <w:tcPr>
            <w:tcW w:type="dxa" w:w="1960"/>
            <w:tcMar>
              <w:top w:type="dxa" w:w="60"/>
              <w:left w:type="dxa" w:w="100"/>
              <w:bottom w:type="dxa" w:w="60"/>
              <w:right w:type="dxa" w:w="100"/>
            </w:tcMar>
            <w:vAlign w:val="center"/>
          </w:tcPr>
          <w:p>
            <w:r>
              <w:rPr>
                <w:b w:val="false"/>
                <w:bCs w:val="false"/>
                <w:sz w:val="20"/>
                <w:szCs w:val="20"/>
              </w:rPr>
              <w:t xml:space="preserve">Cliente aislado NotificationClient (EmailNotificationClientHandler); best effort, se saltea sin MAIL_HOST configurado</w:t>
            </w:r>
          </w:p>
        </w:tc>
      </w:tr>
    </w:tbl>
    <w:p>
      <w:pPr>
        <w:pStyle w:val="Heading3"/>
        <w:spacing w:after="120" w:before="240"/>
      </w:pPr>
      <w:r>
        <w:t xml:space="preserve">3.1.4 Interfaces de comunicación</w:t>
      </w:r>
    </w:p>
    <w:p>
      <w:pPr>
        <w:pStyle w:val="ListParagraph"/>
        <w:numPr>
          <w:ilvl w:val="0"/>
          <w:numId w:val="1"/>
        </w:numPr>
        <w:spacing w:after="60"/>
      </w:pPr>
      <w:r>
        <w:t xml:space="preserve">Toda comunicación frontend↔backend por HTTPS, API REST versionada (/v1/...), JSON en camelCase.</w:t>
      </w:r>
    </w:p>
    <w:p>
      <w:pPr>
        <w:pStyle w:val="ListParagraph"/>
        <w:numPr>
          <w:ilvl w:val="0"/>
          <w:numId w:val="1"/>
        </w:numPr>
        <w:spacing w:after="60"/>
      </w:pPr>
      <w:r>
        <w:t xml:space="preserve">Autenticación stateless por header Authorization: Bearer &lt;JWT&gt;.</w:t>
      </w:r>
    </w:p>
    <w:p>
      <w:pPr>
        <w:pStyle w:val="ListParagraph"/>
        <w:numPr>
          <w:ilvl w:val="0"/>
          <w:numId w:val="1"/>
        </w:numPr>
        <w:spacing w:after="60"/>
      </w:pPr>
      <w:r>
        <w:t xml:space="preserve">Webhook entrante de 17TRACK sobre HTTPS (POST /v1/shipments/webhook), sin sesión de usuario asociada.</w:t>
      </w:r>
    </w:p>
    <w:p>
      <w:pPr>
        <w:pStyle w:val="Heading2"/>
        <w:spacing w:after="150" w:before="300"/>
      </w:pPr>
      <w:r>
        <w:t xml:space="preserve">3.2 Requisitos funcionales</w:t>
      </w:r>
    </w:p>
    <w:p>
      <w:pPr>
        <w:spacing w:after="120"/>
      </w:pPr>
      <w:r>
        <w:t xml:space="preserve">Cada requisito funcional se especifica con: descripción, entradas, proceso, salidas y prioridad (Alta = crítico para el flujo core del banco de anteojos; Media = valor agregado; Baja = mejora/complementario).</w:t>
      </w:r>
    </w:p>
    <w:p>
      <w:pPr>
        <w:pStyle w:val="Heading3"/>
        <w:spacing w:after="120" w:before="240"/>
      </w:pPr>
      <w:r>
        <w:t xml:space="preserve">Módulo 1 — Solicitantes y Validación</w:t>
      </w:r>
    </w:p>
    <w:p>
      <w:pPr>
        <w:spacing w:after="80" w:before="180"/>
      </w:pPr>
      <w:r>
        <w:rPr>
          <w:b/>
          <w:bCs/>
        </w:rPr>
        <w:t xml:space="preserve">RF-01 — Registrar solicitante</w:t>
      </w:r>
    </w:p>
    <w:p>
      <w:pPr>
        <w:pStyle w:val="ListParagraph"/>
        <w:numPr>
          <w:ilvl w:val="0"/>
          <w:numId w:val="1"/>
        </w:numPr>
        <w:spacing w:after="60"/>
      </w:pPr>
      <w:r>
        <w:rPr>
          <w:i/>
          <w:iCs/>
        </w:rPr>
        <w:t xml:space="preserve">Descripción: </w:t>
      </w:r>
      <w:r>
        <w:t xml:space="preserve">el sistema permite registrar un beneficiario con sus datos personales y DNI.</w:t>
      </w:r>
    </w:p>
    <w:p>
      <w:pPr>
        <w:pStyle w:val="ListParagraph"/>
        <w:numPr>
          <w:ilvl w:val="0"/>
          <w:numId w:val="1"/>
        </w:numPr>
        <w:spacing w:after="60"/>
      </w:pPr>
      <w:r>
        <w:rPr>
          <w:i/>
          <w:iCs/>
        </w:rPr>
        <w:t xml:space="preserve">Entradas: </w:t>
      </w:r>
      <w:r>
        <w:t xml:space="preserve">nombre, apellido, DNI, fecha de nacimiento, teléfono, email.</w:t>
      </w:r>
    </w:p>
    <w:p>
      <w:pPr>
        <w:pStyle w:val="ListParagraph"/>
        <w:numPr>
          <w:ilvl w:val="0"/>
          <w:numId w:val="1"/>
        </w:numPr>
        <w:spacing w:after="60"/>
      </w:pPr>
      <w:r>
        <w:rPr>
          <w:i/>
          <w:iCs/>
        </w:rPr>
        <w:t xml:space="preserve">Proceso: </w:t>
      </w:r>
      <w:r>
        <w:t xml:space="preserve">valida formato de DNI y unicidad; crea el registro con identityValidated = false.</w:t>
      </w:r>
    </w:p>
    <w:p>
      <w:pPr>
        <w:pStyle w:val="ListParagraph"/>
        <w:numPr>
          <w:ilvl w:val="0"/>
          <w:numId w:val="1"/>
        </w:numPr>
        <w:spacing w:after="60"/>
      </w:pPr>
      <w:r>
        <w:rPr>
          <w:i/>
          <w:iCs/>
        </w:rPr>
        <w:t xml:space="preserve">Salidas: </w:t>
      </w:r>
      <w:r>
        <w:t xml:space="preserve">solicitante creado, con ID único.</w:t>
      </w:r>
    </w:p>
    <w:p>
      <w:pPr>
        <w:pStyle w:val="ListParagraph"/>
        <w:numPr>
          <w:ilvl w:val="0"/>
          <w:numId w:val="1"/>
        </w:numPr>
        <w:spacing w:after="60"/>
      </w:pPr>
      <w:r>
        <w:rPr>
          <w:i/>
          <w:iCs/>
        </w:rPr>
        <w:t xml:space="preserve">Prioridad: </w:t>
      </w:r>
      <w:r>
        <w:rPr>
          <w:b/>
          <w:bCs/>
        </w:rPr>
        <w:t xml:space="preserve">Alta</w:t>
      </w:r>
    </w:p>
    <w:p>
      <w:pPr>
        <w:spacing w:after="80" w:before="180"/>
      </w:pPr>
      <w:r>
        <w:rPr>
          <w:b/>
          <w:bCs/>
        </w:rPr>
        <w:t xml:space="preserve">RF-02 — Validación de identidad vía RENAPER</w:t>
      </w:r>
    </w:p>
    <w:p>
      <w:pPr>
        <w:pStyle w:val="ListParagraph"/>
        <w:numPr>
          <w:ilvl w:val="0"/>
          <w:numId w:val="1"/>
        </w:numPr>
        <w:spacing w:after="60"/>
      </w:pPr>
      <w:r>
        <w:rPr>
          <w:i/>
          <w:iCs/>
        </w:rPr>
        <w:t xml:space="preserve">Descripción: </w:t>
      </w:r>
      <w:r>
        <w:t xml:space="preserve">el sistema integra el SID de RENAPER para validar la identidad a partir del DNI.</w:t>
      </w:r>
    </w:p>
    <w:p>
      <w:pPr>
        <w:pStyle w:val="ListParagraph"/>
        <w:numPr>
          <w:ilvl w:val="0"/>
          <w:numId w:val="1"/>
        </w:numPr>
        <w:spacing w:after="60"/>
      </w:pPr>
      <w:r>
        <w:rPr>
          <w:i/>
          <w:iCs/>
        </w:rPr>
        <w:t xml:space="preserve">Entradas: </w:t>
      </w:r>
      <w:r>
        <w:t xml:space="preserve">DNI del solicitante.</w:t>
      </w:r>
    </w:p>
    <w:p>
      <w:pPr>
        <w:pStyle w:val="ListParagraph"/>
        <w:numPr>
          <w:ilvl w:val="0"/>
          <w:numId w:val="1"/>
        </w:numPr>
        <w:spacing w:after="60"/>
      </w:pPr>
      <w:r>
        <w:rPr>
          <w:i/>
          <w:iCs/>
        </w:rPr>
        <w:t xml:space="preserve">Proceso: </w:t>
      </w:r>
      <w:r>
        <w:t xml:space="preserve">consulta al SID; si coincide, marca identityValidated = true.</w:t>
      </w:r>
    </w:p>
    <w:p>
      <w:pPr>
        <w:pStyle w:val="ListParagraph"/>
        <w:numPr>
          <w:ilvl w:val="0"/>
          <w:numId w:val="1"/>
        </w:numPr>
        <w:spacing w:after="60"/>
      </w:pPr>
      <w:r>
        <w:rPr>
          <w:i/>
          <w:iCs/>
        </w:rPr>
        <w:t xml:space="preserve">Salidas: </w:t>
      </w:r>
      <w:r>
        <w:t xml:space="preserve">resultado de validación (validado / no validado / servicio no disponible).</w:t>
      </w:r>
    </w:p>
    <w:p>
      <w:pPr>
        <w:pStyle w:val="ListParagraph"/>
        <w:numPr>
          <w:ilvl w:val="0"/>
          <w:numId w:val="1"/>
        </w:numPr>
        <w:spacing w:after="60"/>
      </w:pPr>
      <w:r>
        <w:rPr>
          <w:i/>
          <w:iCs/>
        </w:rPr>
        <w:t xml:space="preserve">Prioridad: </w:t>
      </w:r>
      <w:r>
        <w:rPr>
          <w:b/>
          <w:bCs/>
        </w:rPr>
        <w:t xml:space="preserve">Alta</w:t>
      </w:r>
    </w:p>
    <w:p>
      <w:pPr>
        <w:pStyle w:val="ListParagraph"/>
        <w:numPr>
          <w:ilvl w:val="0"/>
          <w:numId w:val="1"/>
        </w:numPr>
        <w:spacing w:after="60"/>
      </w:pPr>
      <w:r>
        <w:rPr>
          <w:i/>
          <w:iCs/>
        </w:rPr>
        <w:t xml:space="preserve">Nota de estado: </w:t>
      </w:r>
      <w:r>
        <w:t xml:space="preserve">no implementado, por decisión de alcance (no es un gap). El acceso al SID depende del convenio de confronte de datos por TAD, un trámite administrativo de la fundación externo al sistema (ver 1.2 y 2.5); esta entrega no incluye un RenaperClient propio.</w:t>
      </w:r>
    </w:p>
    <w:p>
      <w:pPr>
        <w:spacing w:after="80" w:before="180"/>
      </w:pPr>
      <w:r>
        <w:rPr>
          <w:b/>
          <w:bCs/>
        </w:rPr>
        <w:t xml:space="preserve">RF-03 — Carga de PDF de Certificación Negativa de ANSES</w:t>
      </w:r>
    </w:p>
    <w:p>
      <w:pPr>
        <w:pStyle w:val="ListParagraph"/>
        <w:numPr>
          <w:ilvl w:val="0"/>
          <w:numId w:val="1"/>
        </w:numPr>
        <w:spacing w:after="60"/>
      </w:pPr>
      <w:r>
        <w:rPr>
          <w:i/>
          <w:iCs/>
        </w:rPr>
        <w:t xml:space="preserve">Descripción: </w:t>
      </w:r>
      <w:r>
        <w:t xml:space="preserve">el sistema permite adjuntar el PDF de ANSES del solicitante.</w:t>
      </w:r>
    </w:p>
    <w:p>
      <w:pPr>
        <w:pStyle w:val="ListParagraph"/>
        <w:numPr>
          <w:ilvl w:val="0"/>
          <w:numId w:val="1"/>
        </w:numPr>
        <w:spacing w:after="60"/>
      </w:pPr>
      <w:r>
        <w:rPr>
          <w:i/>
          <w:iCs/>
        </w:rPr>
        <w:t xml:space="preserve">Entradas: </w:t>
      </w:r>
      <w:r>
        <w:t xml:space="preserve">archivo PDF.</w:t>
      </w:r>
    </w:p>
    <w:p>
      <w:pPr>
        <w:pStyle w:val="ListParagraph"/>
        <w:numPr>
          <w:ilvl w:val="0"/>
          <w:numId w:val="1"/>
        </w:numPr>
        <w:spacing w:after="60"/>
      </w:pPr>
      <w:r>
        <w:rPr>
          <w:i/>
          <w:iCs/>
        </w:rPr>
        <w:t xml:space="preserve">Proceso: </w:t>
      </w:r>
      <w:r>
        <w:t xml:space="preserve">sube el PDF a Cloudflare R2 y asocia la URL al solicitante.</w:t>
      </w:r>
    </w:p>
    <w:p>
      <w:pPr>
        <w:pStyle w:val="ListParagraph"/>
        <w:numPr>
          <w:ilvl w:val="0"/>
          <w:numId w:val="1"/>
        </w:numPr>
        <w:spacing w:after="60"/>
      </w:pPr>
      <w:r>
        <w:rPr>
          <w:i/>
          <w:iCs/>
        </w:rPr>
        <w:t xml:space="preserve">Salidas: </w:t>
      </w:r>
      <w:r>
        <w:t xml:space="preserve">certificado ANSES registrado, pendiente de verificación.</w:t>
      </w:r>
    </w:p>
    <w:p>
      <w:pPr>
        <w:pStyle w:val="ListParagraph"/>
        <w:numPr>
          <w:ilvl w:val="0"/>
          <w:numId w:val="1"/>
        </w:numPr>
        <w:spacing w:after="60"/>
      </w:pPr>
      <w:r>
        <w:rPr>
          <w:i/>
          <w:iCs/>
        </w:rPr>
        <w:t xml:space="preserve">Prioridad: </w:t>
      </w:r>
      <w:r>
        <w:rPr>
          <w:b/>
          <w:bCs/>
        </w:rPr>
        <w:t xml:space="preserve">Alta</w:t>
      </w:r>
    </w:p>
    <w:p>
      <w:pPr>
        <w:spacing w:after="80" w:before="180"/>
      </w:pPr>
      <w:r>
        <w:rPr>
          <w:b/>
          <w:bCs/>
        </w:rPr>
        <w:t xml:space="preserve">RF-04 — Verificación de CUIL por código de barras</w:t>
      </w:r>
    </w:p>
    <w:p>
      <w:pPr>
        <w:pStyle w:val="ListParagraph"/>
        <w:numPr>
          <w:ilvl w:val="0"/>
          <w:numId w:val="1"/>
        </w:numPr>
        <w:spacing w:after="60"/>
      </w:pPr>
      <w:r>
        <w:rPr>
          <w:i/>
          <w:iCs/>
        </w:rPr>
        <w:t xml:space="preserve">Descripción: </w:t>
      </w:r>
      <w:r>
        <w:t xml:space="preserve">el sistema lee el código de barras del PDF de ANSES, extrae el CUIL codificado y verifica que coincide con el solicitante.</w:t>
      </w:r>
    </w:p>
    <w:p>
      <w:pPr>
        <w:pStyle w:val="ListParagraph"/>
        <w:numPr>
          <w:ilvl w:val="0"/>
          <w:numId w:val="1"/>
        </w:numPr>
        <w:spacing w:after="60"/>
      </w:pPr>
      <w:r>
        <w:rPr>
          <w:i/>
          <w:iCs/>
        </w:rPr>
        <w:t xml:space="preserve">Entradas: </w:t>
      </w:r>
      <w:r>
        <w:t xml:space="preserve">PDF cargado en RF-03.</w:t>
      </w:r>
    </w:p>
    <w:p>
      <w:pPr>
        <w:pStyle w:val="ListParagraph"/>
        <w:numPr>
          <w:ilvl w:val="0"/>
          <w:numId w:val="1"/>
        </w:numPr>
        <w:spacing w:after="60"/>
      </w:pPr>
      <w:r>
        <w:rPr>
          <w:i/>
          <w:iCs/>
        </w:rPr>
        <w:t xml:space="preserve">Proceso: </w:t>
      </w:r>
      <w:r>
        <w:t xml:space="preserve">decodifica el código de barras (formato CUIL-NroTransacción); compara el CUIL contra el registrado o lo asocia si es la primera verificación.</w:t>
      </w:r>
    </w:p>
    <w:p>
      <w:pPr>
        <w:pStyle w:val="ListParagraph"/>
        <w:numPr>
          <w:ilvl w:val="0"/>
          <w:numId w:val="1"/>
        </w:numPr>
        <w:spacing w:after="60"/>
      </w:pPr>
      <w:r>
        <w:rPr>
          <w:i/>
          <w:iCs/>
        </w:rPr>
        <w:t xml:space="preserve">Salidas: </w:t>
      </w:r>
      <w:r>
        <w:t xml:space="preserve">coincidencia confirmada o rechazo con motivo.</w:t>
      </w:r>
    </w:p>
    <w:p>
      <w:pPr>
        <w:pStyle w:val="ListParagraph"/>
        <w:numPr>
          <w:ilvl w:val="0"/>
          <w:numId w:val="1"/>
        </w:numPr>
        <w:spacing w:after="60"/>
      </w:pPr>
      <w:r>
        <w:rPr>
          <w:i/>
          <w:iCs/>
        </w:rPr>
        <w:t xml:space="preserve">Prioridad: </w:t>
      </w:r>
      <w:r>
        <w:rPr>
          <w:b/>
          <w:bCs/>
        </w:rPr>
        <w:t xml:space="preserve">Alta</w:t>
      </w:r>
    </w:p>
    <w:p>
      <w:pPr>
        <w:spacing w:after="80" w:before="180"/>
      </w:pPr>
      <w:r>
        <w:rPr>
          <w:b/>
          <w:bCs/>
        </w:rPr>
        <w:t xml:space="preserve">RF-05 — Verificación de vigencia del certificado ANSES</w:t>
      </w:r>
    </w:p>
    <w:p>
      <w:pPr>
        <w:pStyle w:val="ListParagraph"/>
        <w:numPr>
          <w:ilvl w:val="0"/>
          <w:numId w:val="1"/>
        </w:numPr>
        <w:spacing w:after="60"/>
      </w:pPr>
      <w:r>
        <w:rPr>
          <w:i/>
          <w:iCs/>
        </w:rPr>
        <w:t xml:space="preserve">Descripción: </w:t>
      </w:r>
      <w:r>
        <w:t xml:space="preserve">extrae la fecha de emisión del PDF y rechaza automáticamente documentos con más de 30 días de antigüedad; la validación final queda a criterio del operador.</w:t>
      </w:r>
    </w:p>
    <w:p>
      <w:pPr>
        <w:pStyle w:val="ListParagraph"/>
        <w:numPr>
          <w:ilvl w:val="0"/>
          <w:numId w:val="1"/>
        </w:numPr>
        <w:spacing w:after="60"/>
      </w:pPr>
      <w:r>
        <w:rPr>
          <w:i/>
          <w:iCs/>
        </w:rPr>
        <w:t xml:space="preserve">Entradas: </w:t>
      </w:r>
      <w:r>
        <w:t xml:space="preserve">PDF cargado en RF-03.</w:t>
      </w:r>
    </w:p>
    <w:p>
      <w:pPr>
        <w:pStyle w:val="ListParagraph"/>
        <w:numPr>
          <w:ilvl w:val="0"/>
          <w:numId w:val="1"/>
        </w:numPr>
        <w:spacing w:after="60"/>
      </w:pPr>
      <w:r>
        <w:rPr>
          <w:i/>
          <w:iCs/>
        </w:rPr>
        <w:t xml:space="preserve">Proceso: </w:t>
      </w:r>
      <w:r>
        <w:t xml:space="preserve">calcula antigüedad respecto a la fecha actual; marca como vencido si supera 30 días.</w:t>
      </w:r>
    </w:p>
    <w:p>
      <w:pPr>
        <w:pStyle w:val="ListParagraph"/>
        <w:numPr>
          <w:ilvl w:val="0"/>
          <w:numId w:val="1"/>
        </w:numPr>
        <w:spacing w:after="60"/>
      </w:pPr>
      <w:r>
        <w:rPr>
          <w:i/>
          <w:iCs/>
        </w:rPr>
        <w:t xml:space="preserve">Salidas: </w:t>
      </w:r>
      <w:r>
        <w:t xml:space="preserve">estado de vigencia (vigente/vencido), no bloqueante, informativo para el operador.</w:t>
      </w:r>
    </w:p>
    <w:p>
      <w:pPr>
        <w:pStyle w:val="ListParagraph"/>
        <w:numPr>
          <w:ilvl w:val="0"/>
          <w:numId w:val="1"/>
        </w:numPr>
        <w:spacing w:after="60"/>
      </w:pPr>
      <w:r>
        <w:rPr>
          <w:i/>
          <w:iCs/>
        </w:rPr>
        <w:t xml:space="preserve">Prioridad: </w:t>
      </w:r>
      <w:r>
        <w:rPr>
          <w:b/>
          <w:bCs/>
        </w:rPr>
        <w:t xml:space="preserve">Alta</w:t>
      </w:r>
    </w:p>
    <w:p>
      <w:pPr>
        <w:spacing w:after="80" w:before="180"/>
      </w:pPr>
      <w:r>
        <w:rPr>
          <w:b/>
          <w:bCs/>
        </w:rPr>
        <w:t xml:space="preserve">RF-06 — Validación presencial alternativa</w:t>
      </w:r>
    </w:p>
    <w:p>
      <w:pPr>
        <w:pStyle w:val="ListParagraph"/>
        <w:numPr>
          <w:ilvl w:val="0"/>
          <w:numId w:val="1"/>
        </w:numPr>
        <w:spacing w:after="60"/>
      </w:pPr>
      <w:r>
        <w:rPr>
          <w:i/>
          <w:iCs/>
        </w:rPr>
        <w:t xml:space="preserve">Descripción: </w:t>
      </w:r>
      <w:r>
        <w:t xml:space="preserve">ante indisponibilidad del SID de RENAPER, habilita la validación presencial del DNI documentada por el operador como alternativa.</w:t>
      </w:r>
    </w:p>
    <w:p>
      <w:pPr>
        <w:pStyle w:val="ListParagraph"/>
        <w:numPr>
          <w:ilvl w:val="0"/>
          <w:numId w:val="1"/>
        </w:numPr>
        <w:spacing w:after="60"/>
      </w:pPr>
      <w:r>
        <w:rPr>
          <w:i/>
          <w:iCs/>
        </w:rPr>
        <w:t xml:space="preserve">Entradas: </w:t>
      </w:r>
      <w:r>
        <w:t xml:space="preserve">confirmación manual del operador (DNI físico verificado).</w:t>
      </w:r>
    </w:p>
    <w:p>
      <w:pPr>
        <w:pStyle w:val="ListParagraph"/>
        <w:numPr>
          <w:ilvl w:val="0"/>
          <w:numId w:val="1"/>
        </w:numPr>
        <w:spacing w:after="60"/>
      </w:pPr>
      <w:r>
        <w:rPr>
          <w:i/>
          <w:iCs/>
        </w:rPr>
        <w:t xml:space="preserve">Proceso: </w:t>
      </w:r>
      <w:r>
        <w:t xml:space="preserve">registra la validación como manual, con el operador responsable.</w:t>
      </w:r>
    </w:p>
    <w:p>
      <w:pPr>
        <w:pStyle w:val="ListParagraph"/>
        <w:numPr>
          <w:ilvl w:val="0"/>
          <w:numId w:val="1"/>
        </w:numPr>
        <w:spacing w:after="60"/>
      </w:pPr>
      <w:r>
        <w:rPr>
          <w:i/>
          <w:iCs/>
        </w:rPr>
        <w:t xml:space="preserve">Salidas: </w:t>
      </w:r>
      <w:r>
        <w:t xml:space="preserve">identityValidated = true por vía alternativa, trazado como tal.</w:t>
      </w:r>
    </w:p>
    <w:p>
      <w:pPr>
        <w:pStyle w:val="ListParagraph"/>
        <w:numPr>
          <w:ilvl w:val="0"/>
          <w:numId w:val="1"/>
        </w:numPr>
        <w:spacing w:after="60"/>
      </w:pPr>
      <w:r>
        <w:rPr>
          <w:i/>
          <w:iCs/>
        </w:rPr>
        <w:t xml:space="preserve">Prioridad: </w:t>
      </w:r>
      <w:r>
        <w:rPr>
          <w:b/>
          <w:bCs/>
        </w:rPr>
        <w:t xml:space="preserve">Media</w:t>
      </w:r>
    </w:p>
    <w:p>
      <w:pPr>
        <w:pStyle w:val="ListParagraph"/>
        <w:numPr>
          <w:ilvl w:val="0"/>
          <w:numId w:val="1"/>
        </w:numPr>
        <w:spacing w:after="60"/>
      </w:pPr>
      <w:r>
        <w:rPr>
          <w:i/>
          <w:iCs/>
        </w:rPr>
        <w:t xml:space="preserve">Nota de estado: </w:t>
      </w:r>
      <w:r>
        <w:t xml:space="preserve">especificado, pendiente de implementación (a diferencia de RF-02, esta sí es funcionalidad del sistema). El frontend y el backend actuales no tienen ningún endpoint ni control de interfaz que la dispare; hoy el operador verifica el DNI físico fuera del sistema, sin dejar registro digital. Queda como trabajo pendiente para una próxima iteración.</w:t>
      </w:r>
    </w:p>
    <w:p>
      <w:pPr>
        <w:spacing w:after="80" w:before="180"/>
      </w:pPr>
      <w:r>
        <w:rPr>
          <w:b/>
          <w:bCs/>
        </w:rPr>
        <w:t xml:space="preserve">RF-07 — Registrar receta médica</w:t>
      </w:r>
    </w:p>
    <w:p>
      <w:pPr>
        <w:pStyle w:val="ListParagraph"/>
        <w:numPr>
          <w:ilvl w:val="0"/>
          <w:numId w:val="1"/>
        </w:numPr>
        <w:spacing w:after="60"/>
      </w:pPr>
      <w:r>
        <w:rPr>
          <w:i/>
          <w:iCs/>
        </w:rPr>
        <w:t xml:space="preserve">Descripción: </w:t>
      </w:r>
      <w:r>
        <w:t xml:space="preserve">el sistema permite registrar la receta (graduación) del beneficiario.</w:t>
      </w:r>
    </w:p>
    <w:p>
      <w:pPr>
        <w:pStyle w:val="ListParagraph"/>
        <w:numPr>
          <w:ilvl w:val="0"/>
          <w:numId w:val="1"/>
        </w:numPr>
        <w:spacing w:after="60"/>
      </w:pPr>
      <w:r>
        <w:rPr>
          <w:i/>
          <w:iCs/>
        </w:rPr>
        <w:t xml:space="preserve">Entradas: </w:t>
      </w:r>
      <w:r>
        <w:t xml:space="preserve">valores de graduación (por ojo), archivo de la receta (opcional).</w:t>
      </w:r>
    </w:p>
    <w:p>
      <w:pPr>
        <w:pStyle w:val="ListParagraph"/>
        <w:numPr>
          <w:ilvl w:val="0"/>
          <w:numId w:val="1"/>
        </w:numPr>
        <w:spacing w:after="60"/>
      </w:pPr>
      <w:r>
        <w:rPr>
          <w:i/>
          <w:iCs/>
        </w:rPr>
        <w:t xml:space="preserve">Proceso: </w:t>
      </w:r>
      <w:r>
        <w:t xml:space="preserve">asocia la receta al solicitante; puede haber más de una en el tiempo.</w:t>
      </w:r>
    </w:p>
    <w:p>
      <w:pPr>
        <w:pStyle w:val="ListParagraph"/>
        <w:numPr>
          <w:ilvl w:val="0"/>
          <w:numId w:val="1"/>
        </w:numPr>
        <w:spacing w:after="60"/>
      </w:pPr>
      <w:r>
        <w:rPr>
          <w:i/>
          <w:iCs/>
        </w:rPr>
        <w:t xml:space="preserve">Salidas: </w:t>
      </w:r>
      <w:r>
        <w:t xml:space="preserve">receta registrada, disponible para el algoritmo de match (RF-14).</w:t>
      </w:r>
    </w:p>
    <w:p>
      <w:pPr>
        <w:pStyle w:val="ListParagraph"/>
        <w:numPr>
          <w:ilvl w:val="0"/>
          <w:numId w:val="1"/>
        </w:numPr>
        <w:spacing w:after="60"/>
      </w:pPr>
      <w:r>
        <w:rPr>
          <w:i/>
          <w:iCs/>
        </w:rPr>
        <w:t xml:space="preserve">Prioridad: </w:t>
      </w:r>
      <w:r>
        <w:rPr>
          <w:b/>
          <w:bCs/>
        </w:rPr>
        <w:t xml:space="preserve">Alta</w:t>
      </w:r>
    </w:p>
    <w:p>
      <w:pPr>
        <w:spacing w:after="80" w:before="180"/>
      </w:pPr>
      <w:r>
        <w:rPr>
          <w:b/>
          <w:bCs/>
        </w:rPr>
        <w:t xml:space="preserve">RF-08 — Consultar, editar y listar solicitantes</w:t>
      </w:r>
    </w:p>
    <w:p>
      <w:pPr>
        <w:pStyle w:val="ListParagraph"/>
        <w:numPr>
          <w:ilvl w:val="0"/>
          <w:numId w:val="1"/>
        </w:numPr>
        <w:spacing w:after="60"/>
      </w:pPr>
      <w:r>
        <w:rPr>
          <w:i/>
          <w:iCs/>
        </w:rPr>
        <w:t xml:space="preserve">Descripción: </w:t>
      </w:r>
      <w:r>
        <w:t xml:space="preserve">permite listar, buscar, ver el detalle y editar los datos de un solicitante.</w:t>
      </w:r>
    </w:p>
    <w:p>
      <w:pPr>
        <w:pStyle w:val="ListParagraph"/>
        <w:numPr>
          <w:ilvl w:val="0"/>
          <w:numId w:val="1"/>
        </w:numPr>
        <w:spacing w:after="60"/>
      </w:pPr>
      <w:r>
        <w:rPr>
          <w:i/>
          <w:iCs/>
        </w:rPr>
        <w:t xml:space="preserve">Entradas: </w:t>
      </w:r>
      <w:r>
        <w:t xml:space="preserve">filtros de búsqueda (DNI, nombre) o ID de solicitante; datos a editar.</w:t>
      </w:r>
    </w:p>
    <w:p>
      <w:pPr>
        <w:pStyle w:val="ListParagraph"/>
        <w:numPr>
          <w:ilvl w:val="0"/>
          <w:numId w:val="1"/>
        </w:numPr>
        <w:spacing w:after="60"/>
      </w:pPr>
      <w:r>
        <w:rPr>
          <w:i/>
          <w:iCs/>
        </w:rPr>
        <w:t xml:space="preserve">Proceso: </w:t>
      </w:r>
      <w:r>
        <w:t xml:space="preserve">consulta paginada; edición valida los mismos formatos que el alta (DNI no editable post-creación, por ser la identidad validada contra RENAPER).</w:t>
      </w:r>
    </w:p>
    <w:p>
      <w:pPr>
        <w:pStyle w:val="ListParagraph"/>
        <w:numPr>
          <w:ilvl w:val="0"/>
          <w:numId w:val="1"/>
        </w:numPr>
        <w:spacing w:after="60"/>
      </w:pPr>
      <w:r>
        <w:rPr>
          <w:i/>
          <w:iCs/>
        </w:rPr>
        <w:t xml:space="preserve">Salidas: </w:t>
      </w:r>
      <w:r>
        <w:t xml:space="preserve">listado, detalle o confirmación de edición.</w:t>
      </w:r>
    </w:p>
    <w:p>
      <w:pPr>
        <w:pStyle w:val="ListParagraph"/>
        <w:numPr>
          <w:ilvl w:val="0"/>
          <w:numId w:val="1"/>
        </w:numPr>
        <w:spacing w:after="60"/>
      </w:pPr>
      <w:r>
        <w:rPr>
          <w:i/>
          <w:iCs/>
        </w:rPr>
        <w:t xml:space="preserve">Prioridad: </w:t>
      </w:r>
      <w:r>
        <w:rPr>
          <w:b/>
          <w:bCs/>
        </w:rPr>
        <w:t xml:space="preserve">Alta</w:t>
      </w:r>
    </w:p>
    <w:p>
      <w:pPr>
        <w:pStyle w:val="Heading3"/>
        <w:spacing w:after="120" w:before="240"/>
      </w:pPr>
      <w:r>
        <w:t xml:space="preserve">Módulo 2 — Donaciones</w:t>
      </w:r>
    </w:p>
    <w:p>
      <w:pPr>
        <w:spacing w:after="80" w:before="180"/>
      </w:pPr>
      <w:r>
        <w:rPr>
          <w:b/>
          <w:bCs/>
        </w:rPr>
        <w:t xml:space="preserve">RF-09 — Registrar donante</w:t>
      </w:r>
    </w:p>
    <w:p>
      <w:pPr>
        <w:pStyle w:val="ListParagraph"/>
        <w:numPr>
          <w:ilvl w:val="0"/>
          <w:numId w:val="1"/>
        </w:numPr>
        <w:spacing w:after="60"/>
      </w:pPr>
      <w:r>
        <w:rPr>
          <w:i/>
          <w:iCs/>
        </w:rPr>
        <w:t xml:space="preserve">Descripción: </w:t>
      </w:r>
      <w:r>
        <w:t xml:space="preserve">permite registrar un donante, persona física o entidad.</w:t>
      </w:r>
    </w:p>
    <w:p>
      <w:pPr>
        <w:pStyle w:val="ListParagraph"/>
        <w:numPr>
          <w:ilvl w:val="0"/>
          <w:numId w:val="1"/>
        </w:numPr>
        <w:spacing w:after="60"/>
      </w:pPr>
      <w:r>
        <w:rPr>
          <w:i/>
          <w:iCs/>
        </w:rPr>
        <w:t xml:space="preserve">Entradas: </w:t>
      </w:r>
      <w:r>
        <w:t xml:space="preserve">tipo de donante, datos de contacto.</w:t>
      </w:r>
    </w:p>
    <w:p>
      <w:pPr>
        <w:pStyle w:val="ListParagraph"/>
        <w:numPr>
          <w:ilvl w:val="0"/>
          <w:numId w:val="1"/>
        </w:numPr>
        <w:spacing w:after="60"/>
      </w:pPr>
      <w:r>
        <w:rPr>
          <w:i/>
          <w:iCs/>
        </w:rPr>
        <w:t xml:space="preserve">Proceso: </w:t>
      </w:r>
      <w:r>
        <w:t xml:space="preserve">valida datos mínimos según tipo; crea el registro.</w:t>
      </w:r>
    </w:p>
    <w:p>
      <w:pPr>
        <w:pStyle w:val="ListParagraph"/>
        <w:numPr>
          <w:ilvl w:val="0"/>
          <w:numId w:val="1"/>
        </w:numPr>
        <w:spacing w:after="60"/>
      </w:pPr>
      <w:r>
        <w:rPr>
          <w:i/>
          <w:iCs/>
        </w:rPr>
        <w:t xml:space="preserve">Salidas: </w:t>
      </w:r>
      <w:r>
        <w:t xml:space="preserve">donante creado con ID único.</w:t>
      </w:r>
    </w:p>
    <w:p>
      <w:pPr>
        <w:pStyle w:val="ListParagraph"/>
        <w:numPr>
          <w:ilvl w:val="0"/>
          <w:numId w:val="1"/>
        </w:numPr>
        <w:spacing w:after="60"/>
      </w:pPr>
      <w:r>
        <w:rPr>
          <w:i/>
          <w:iCs/>
        </w:rPr>
        <w:t xml:space="preserve">Prioridad: </w:t>
      </w:r>
      <w:r>
        <w:rPr>
          <w:b/>
          <w:bCs/>
        </w:rPr>
        <w:t xml:space="preserve">Alta</w:t>
      </w:r>
    </w:p>
    <w:p>
      <w:pPr>
        <w:spacing w:after="80" w:before="180"/>
      </w:pPr>
      <w:r>
        <w:rPr>
          <w:b/>
          <w:bCs/>
        </w:rPr>
        <w:t xml:space="preserve">RF-10 — Registrar recepción de marcos donados</w:t>
      </w:r>
    </w:p>
    <w:p>
      <w:pPr>
        <w:pStyle w:val="ListParagraph"/>
        <w:numPr>
          <w:ilvl w:val="0"/>
          <w:numId w:val="1"/>
        </w:numPr>
        <w:spacing w:after="60"/>
      </w:pPr>
      <w:r>
        <w:rPr>
          <w:i/>
          <w:iCs/>
        </w:rPr>
        <w:t xml:space="preserve">Descripción: </w:t>
      </w:r>
      <w:r>
        <w:t xml:space="preserve">registra la recepción de marcos donados, asignando a cada uno un identificador único (precinto).</w:t>
      </w:r>
    </w:p>
    <w:p>
      <w:pPr>
        <w:pStyle w:val="ListParagraph"/>
        <w:numPr>
          <w:ilvl w:val="0"/>
          <w:numId w:val="1"/>
        </w:numPr>
        <w:spacing w:after="60"/>
      </w:pPr>
      <w:r>
        <w:rPr>
          <w:i/>
          <w:iCs/>
        </w:rPr>
        <w:t xml:space="preserve">Entradas: </w:t>
      </w:r>
      <w:r>
        <w:t xml:space="preserve">donante, cantidad y datos de cada marco.</w:t>
      </w:r>
    </w:p>
    <w:p>
      <w:pPr>
        <w:pStyle w:val="ListParagraph"/>
        <w:numPr>
          <w:ilvl w:val="0"/>
          <w:numId w:val="1"/>
        </w:numPr>
        <w:spacing w:after="60"/>
      </w:pPr>
      <w:r>
        <w:rPr>
          <w:i/>
          <w:iCs/>
        </w:rPr>
        <w:t xml:space="preserve">Proceso: </w:t>
      </w:r>
      <w:r>
        <w:t xml:space="preserve">crea un Frame por unidad, vinculado al donante, en estado AVAILABLE.</w:t>
      </w:r>
    </w:p>
    <w:p>
      <w:pPr>
        <w:pStyle w:val="ListParagraph"/>
        <w:numPr>
          <w:ilvl w:val="0"/>
          <w:numId w:val="1"/>
        </w:numPr>
        <w:spacing w:after="60"/>
      </w:pPr>
      <w:r>
        <w:rPr>
          <w:i/>
          <w:iCs/>
        </w:rPr>
        <w:t xml:space="preserve">Salidas: </w:t>
      </w:r>
      <w:r>
        <w:t xml:space="preserve">marcos registrados en inventario.</w:t>
      </w:r>
    </w:p>
    <w:p>
      <w:pPr>
        <w:pStyle w:val="ListParagraph"/>
        <w:numPr>
          <w:ilvl w:val="0"/>
          <w:numId w:val="1"/>
        </w:numPr>
        <w:spacing w:after="60"/>
      </w:pPr>
      <w:r>
        <w:rPr>
          <w:i/>
          <w:iCs/>
        </w:rPr>
        <w:t xml:space="preserve">Prioridad: </w:t>
      </w:r>
      <w:r>
        <w:rPr>
          <w:b/>
          <w:bCs/>
        </w:rPr>
        <w:t xml:space="preserve">Alta</w:t>
      </w:r>
    </w:p>
    <w:p>
      <w:pPr>
        <w:spacing w:after="80" w:before="180"/>
      </w:pPr>
      <w:r>
        <w:rPr>
          <w:b/>
          <w:bCs/>
        </w:rPr>
        <w:t xml:space="preserve">RF-11 — Clasificar marcos por atributos</w:t>
      </w:r>
    </w:p>
    <w:p>
      <w:pPr>
        <w:pStyle w:val="ListParagraph"/>
        <w:numPr>
          <w:ilvl w:val="0"/>
          <w:numId w:val="1"/>
        </w:numPr>
        <w:spacing w:after="60"/>
      </w:pPr>
      <w:r>
        <w:rPr>
          <w:i/>
          <w:iCs/>
        </w:rPr>
        <w:t xml:space="preserve">Descripción: </w:t>
      </w:r>
      <w:r>
        <w:t xml:space="preserve">permite clasificar los marcos según tipo, material y medidas.</w:t>
      </w:r>
    </w:p>
    <w:p>
      <w:pPr>
        <w:pStyle w:val="ListParagraph"/>
        <w:numPr>
          <w:ilvl w:val="0"/>
          <w:numId w:val="1"/>
        </w:numPr>
        <w:spacing w:after="60"/>
      </w:pPr>
      <w:r>
        <w:rPr>
          <w:i/>
          <w:iCs/>
        </w:rPr>
        <w:t xml:space="preserve">Entradas: </w:t>
      </w:r>
      <w:r>
        <w:t xml:space="preserve">tipo de marco, material, medidas.</w:t>
      </w:r>
    </w:p>
    <w:p>
      <w:pPr>
        <w:pStyle w:val="ListParagraph"/>
        <w:numPr>
          <w:ilvl w:val="0"/>
          <w:numId w:val="1"/>
        </w:numPr>
        <w:spacing w:after="60"/>
      </w:pPr>
      <w:r>
        <w:rPr>
          <w:i/>
          <w:iCs/>
        </w:rPr>
        <w:t xml:space="preserve">Proceso: </w:t>
      </w:r>
      <w:r>
        <w:t xml:space="preserve">persiste los atributos como parte del Frame, usados luego por el algoritmo de match.</w:t>
      </w:r>
    </w:p>
    <w:p>
      <w:pPr>
        <w:pStyle w:val="ListParagraph"/>
        <w:numPr>
          <w:ilvl w:val="0"/>
          <w:numId w:val="1"/>
        </w:numPr>
        <w:spacing w:after="60"/>
      </w:pPr>
      <w:r>
        <w:rPr>
          <w:i/>
          <w:iCs/>
        </w:rPr>
        <w:t xml:space="preserve">Salidas: </w:t>
      </w:r>
      <w:r>
        <w:t xml:space="preserve">marco clasificado.</w:t>
      </w:r>
    </w:p>
    <w:p>
      <w:pPr>
        <w:pStyle w:val="ListParagraph"/>
        <w:numPr>
          <w:ilvl w:val="0"/>
          <w:numId w:val="1"/>
        </w:numPr>
        <w:spacing w:after="60"/>
      </w:pPr>
      <w:r>
        <w:rPr>
          <w:i/>
          <w:iCs/>
        </w:rPr>
        <w:t xml:space="preserve">Prioridad: </w:t>
      </w:r>
      <w:r>
        <w:rPr>
          <w:b/>
          <w:bCs/>
        </w:rPr>
        <w:t xml:space="preserve">Alta</w:t>
      </w:r>
    </w:p>
    <w:p>
      <w:pPr>
        <w:spacing w:after="80" w:before="180"/>
      </w:pPr>
      <w:r>
        <w:rPr>
          <w:b/>
          <w:bCs/>
        </w:rPr>
        <w:t xml:space="preserve">RF-12 — Consultar y listar donaciones y donantes</w:t>
      </w:r>
    </w:p>
    <w:p>
      <w:pPr>
        <w:pStyle w:val="ListParagraph"/>
        <w:numPr>
          <w:ilvl w:val="0"/>
          <w:numId w:val="1"/>
        </w:numPr>
        <w:spacing w:after="60"/>
      </w:pPr>
      <w:r>
        <w:rPr>
          <w:i/>
          <w:iCs/>
        </w:rPr>
        <w:t xml:space="preserve">Descripción: </w:t>
      </w:r>
      <w:r>
        <w:t xml:space="preserve">permite consultar el historial de donaciones por donante y listar donantes.</w:t>
      </w:r>
    </w:p>
    <w:p>
      <w:pPr>
        <w:pStyle w:val="ListParagraph"/>
        <w:numPr>
          <w:ilvl w:val="0"/>
          <w:numId w:val="1"/>
        </w:numPr>
        <w:spacing w:after="60"/>
      </w:pPr>
      <w:r>
        <w:rPr>
          <w:i/>
          <w:iCs/>
        </w:rPr>
        <w:t xml:space="preserve">Entradas: </w:t>
      </w:r>
      <w:r>
        <w:t xml:space="preserve">filtros de búsqueda.</w:t>
      </w:r>
    </w:p>
    <w:p>
      <w:pPr>
        <w:pStyle w:val="ListParagraph"/>
        <w:numPr>
          <w:ilvl w:val="0"/>
          <w:numId w:val="1"/>
        </w:numPr>
        <w:spacing w:after="60"/>
      </w:pPr>
      <w:r>
        <w:rPr>
          <w:i/>
          <w:iCs/>
        </w:rPr>
        <w:t xml:space="preserve">Proceso: </w:t>
      </w:r>
      <w:r>
        <w:t xml:space="preserve">consulta paginada.</w:t>
      </w:r>
    </w:p>
    <w:p>
      <w:pPr>
        <w:pStyle w:val="ListParagraph"/>
        <w:numPr>
          <w:ilvl w:val="0"/>
          <w:numId w:val="1"/>
        </w:numPr>
        <w:spacing w:after="60"/>
      </w:pPr>
      <w:r>
        <w:rPr>
          <w:i/>
          <w:iCs/>
        </w:rPr>
        <w:t xml:space="preserve">Salidas: </w:t>
      </w:r>
      <w:r>
        <w:t xml:space="preserve">listado de donantes / marcos donados por donante.</w:t>
      </w:r>
    </w:p>
    <w:p>
      <w:pPr>
        <w:pStyle w:val="ListParagraph"/>
        <w:numPr>
          <w:ilvl w:val="0"/>
          <w:numId w:val="1"/>
        </w:numPr>
        <w:spacing w:after="60"/>
      </w:pPr>
      <w:r>
        <w:rPr>
          <w:i/>
          <w:iCs/>
        </w:rPr>
        <w:t xml:space="preserve">Prioridad: </w:t>
      </w:r>
      <w:r>
        <w:rPr>
          <w:b/>
          <w:bCs/>
        </w:rPr>
        <w:t xml:space="preserve">Media</w:t>
      </w:r>
    </w:p>
    <w:p>
      <w:pPr>
        <w:pStyle w:val="Heading3"/>
        <w:spacing w:after="120" w:before="240"/>
      </w:pPr>
      <w:r>
        <w:t xml:space="preserve">Módulo 3 — Inventario, Asignación y Trazabilidad</w:t>
      </w:r>
    </w:p>
    <w:p>
      <w:pPr>
        <w:spacing w:after="80" w:before="180"/>
      </w:pPr>
      <w:r>
        <w:rPr>
          <w:b/>
          <w:bCs/>
        </w:rPr>
        <w:t xml:space="preserve">RF-13 — Inventario en tiempo real</w:t>
      </w:r>
    </w:p>
    <w:p>
      <w:pPr>
        <w:pStyle w:val="ListParagraph"/>
        <w:numPr>
          <w:ilvl w:val="0"/>
          <w:numId w:val="1"/>
        </w:numPr>
        <w:spacing w:after="60"/>
      </w:pPr>
      <w:r>
        <w:rPr>
          <w:i/>
          <w:iCs/>
        </w:rPr>
        <w:t xml:space="preserve">Descripción: </w:t>
      </w:r>
      <w:r>
        <w:t xml:space="preserve">mantiene el control de inventario en tiempo real de los marcos disponibles.</w:t>
      </w:r>
    </w:p>
    <w:p>
      <w:pPr>
        <w:pStyle w:val="ListParagraph"/>
        <w:numPr>
          <w:ilvl w:val="0"/>
          <w:numId w:val="1"/>
        </w:numPr>
        <w:spacing w:after="60"/>
      </w:pPr>
      <w:r>
        <w:rPr>
          <w:i/>
          <w:iCs/>
        </w:rPr>
        <w:t xml:space="preserve">Entradas: </w:t>
      </w:r>
      <w:r>
        <w:t xml:space="preserve">altas/bajas/cambios de estado de marcos.</w:t>
      </w:r>
    </w:p>
    <w:p>
      <w:pPr>
        <w:pStyle w:val="ListParagraph"/>
        <w:numPr>
          <w:ilvl w:val="0"/>
          <w:numId w:val="1"/>
        </w:numPr>
        <w:spacing w:after="60"/>
      </w:pPr>
      <w:r>
        <w:rPr>
          <w:i/>
          <w:iCs/>
        </w:rPr>
        <w:t xml:space="preserve">Proceso: </w:t>
      </w:r>
      <w:r>
        <w:t xml:space="preserve">cada transición de estado (AVAILABLE → ASSIGNED → AT_OPTICIAN → READY → DELIVERED, o DISCARDED) se refleja de inmediato en la consulta de inventario.</w:t>
      </w:r>
    </w:p>
    <w:p>
      <w:pPr>
        <w:pStyle w:val="ListParagraph"/>
        <w:numPr>
          <w:ilvl w:val="0"/>
          <w:numId w:val="1"/>
        </w:numPr>
        <w:spacing w:after="60"/>
      </w:pPr>
      <w:r>
        <w:rPr>
          <w:i/>
          <w:iCs/>
        </w:rPr>
        <w:t xml:space="preserve">Salidas: </w:t>
      </w:r>
      <w:r>
        <w:t xml:space="preserve">vista de inventario actualizada, filtrable por estado/atributos.</w:t>
      </w:r>
    </w:p>
    <w:p>
      <w:pPr>
        <w:pStyle w:val="ListParagraph"/>
        <w:numPr>
          <w:ilvl w:val="0"/>
          <w:numId w:val="1"/>
        </w:numPr>
        <w:spacing w:after="60"/>
      </w:pPr>
      <w:r>
        <w:rPr>
          <w:i/>
          <w:iCs/>
        </w:rPr>
        <w:t xml:space="preserve">Prioridad: </w:t>
      </w:r>
      <w:r>
        <w:rPr>
          <w:b/>
          <w:bCs/>
        </w:rPr>
        <w:t xml:space="preserve">Alta</w:t>
      </w:r>
    </w:p>
    <w:p>
      <w:pPr>
        <w:spacing w:after="80" w:before="180"/>
      </w:pPr>
      <w:r>
        <w:rPr>
          <w:b/>
          <w:bCs/>
        </w:rPr>
        <w:t xml:space="preserve">RF-14 — Algoritmo de match receta↔marco</w:t>
      </w:r>
    </w:p>
    <w:p>
      <w:pPr>
        <w:pStyle w:val="ListParagraph"/>
        <w:numPr>
          <w:ilvl w:val="0"/>
          <w:numId w:val="1"/>
        </w:numPr>
        <w:spacing w:after="60"/>
      </w:pPr>
      <w:r>
        <w:rPr>
          <w:i/>
          <w:iCs/>
        </w:rPr>
        <w:t xml:space="preserve">Descripción: </w:t>
      </w:r>
      <w:r>
        <w:t xml:space="preserve">ejecuta un match entre la receta médica del beneficiario y los atributos de los marcos disponibles.</w:t>
      </w:r>
    </w:p>
    <w:p>
      <w:pPr>
        <w:pStyle w:val="ListParagraph"/>
        <w:numPr>
          <w:ilvl w:val="0"/>
          <w:numId w:val="1"/>
        </w:numPr>
        <w:spacing w:after="60"/>
      </w:pPr>
      <w:r>
        <w:rPr>
          <w:i/>
          <w:iCs/>
        </w:rPr>
        <w:t xml:space="preserve">Entradas: </w:t>
      </w:r>
      <w:r>
        <w:t xml:space="preserve">receta del beneficiario, inventario disponible.</w:t>
      </w:r>
    </w:p>
    <w:p>
      <w:pPr>
        <w:pStyle w:val="ListParagraph"/>
        <w:numPr>
          <w:ilvl w:val="0"/>
          <w:numId w:val="1"/>
        </w:numPr>
        <w:spacing w:after="60"/>
      </w:pPr>
      <w:r>
        <w:rPr>
          <w:i/>
          <w:iCs/>
        </w:rPr>
        <w:t xml:space="preserve">Proceso: </w:t>
      </w:r>
      <w:r>
        <w:t xml:space="preserve">filtra/ordena marcos candidatos según compatibilidad con la graduación y atributos requeridos.</w:t>
      </w:r>
    </w:p>
    <w:p>
      <w:pPr>
        <w:pStyle w:val="ListParagraph"/>
        <w:numPr>
          <w:ilvl w:val="0"/>
          <w:numId w:val="1"/>
        </w:numPr>
        <w:spacing w:after="60"/>
      </w:pPr>
      <w:r>
        <w:rPr>
          <w:i/>
          <w:iCs/>
        </w:rPr>
        <w:t xml:space="preserve">Salidas: </w:t>
      </w:r>
      <w:r>
        <w:t xml:space="preserve">lista de marcos candidatos para asignar.</w:t>
      </w:r>
    </w:p>
    <w:p>
      <w:pPr>
        <w:pStyle w:val="ListParagraph"/>
        <w:numPr>
          <w:ilvl w:val="0"/>
          <w:numId w:val="1"/>
        </w:numPr>
        <w:spacing w:after="60"/>
      </w:pPr>
      <w:r>
        <w:rPr>
          <w:i/>
          <w:iCs/>
        </w:rPr>
        <w:t xml:space="preserve">Prioridad: </w:t>
      </w:r>
      <w:r>
        <w:rPr>
          <w:b/>
          <w:bCs/>
        </w:rPr>
        <w:t xml:space="preserve">Alta</w:t>
      </w:r>
    </w:p>
    <w:p>
      <w:pPr>
        <w:spacing w:after="80" w:before="180"/>
      </w:pPr>
      <w:r>
        <w:rPr>
          <w:b/>
          <w:bCs/>
        </w:rPr>
        <w:t xml:space="preserve">RF-15 — Asignar marco a beneficiario</w:t>
      </w:r>
    </w:p>
    <w:p>
      <w:pPr>
        <w:pStyle w:val="ListParagraph"/>
        <w:numPr>
          <w:ilvl w:val="0"/>
          <w:numId w:val="1"/>
        </w:numPr>
        <w:spacing w:after="60"/>
      </w:pPr>
      <w:r>
        <w:rPr>
          <w:i/>
          <w:iCs/>
        </w:rPr>
        <w:t xml:space="preserve">Descripción: </w:t>
      </w:r>
      <w:r>
        <w:t xml:space="preserve">permite asignar un marco a un beneficiario y descuenta la unidad del inventario.</w:t>
      </w:r>
    </w:p>
    <w:p>
      <w:pPr>
        <w:pStyle w:val="ListParagraph"/>
        <w:numPr>
          <w:ilvl w:val="0"/>
          <w:numId w:val="1"/>
        </w:numPr>
        <w:spacing w:after="60"/>
      </w:pPr>
      <w:r>
        <w:rPr>
          <w:i/>
          <w:iCs/>
        </w:rPr>
        <w:t xml:space="preserve">Entradas: </w:t>
      </w:r>
      <w:r>
        <w:t xml:space="preserve">solicitante, receta, marco elegido.</w:t>
      </w:r>
    </w:p>
    <w:p>
      <w:pPr>
        <w:pStyle w:val="ListParagraph"/>
        <w:numPr>
          <w:ilvl w:val="0"/>
          <w:numId w:val="1"/>
        </w:numPr>
        <w:spacing w:after="60"/>
      </w:pPr>
      <w:r>
        <w:rPr>
          <w:i/>
          <w:iCs/>
        </w:rPr>
        <w:t xml:space="preserve">Proceso: </w:t>
      </w:r>
      <w:r>
        <w:t xml:space="preserve">crea una Assignment, cambia el marco a ASSIGNED.</w:t>
      </w:r>
    </w:p>
    <w:p>
      <w:pPr>
        <w:pStyle w:val="ListParagraph"/>
        <w:numPr>
          <w:ilvl w:val="0"/>
          <w:numId w:val="1"/>
        </w:numPr>
        <w:spacing w:after="60"/>
      </w:pPr>
      <w:r>
        <w:rPr>
          <w:i/>
          <w:iCs/>
        </w:rPr>
        <w:t xml:space="preserve">Salidas: </w:t>
      </w:r>
      <w:r>
        <w:t xml:space="preserve">asignación creada, marco removido del inventario disponible.</w:t>
      </w:r>
    </w:p>
    <w:p>
      <w:pPr>
        <w:pStyle w:val="ListParagraph"/>
        <w:numPr>
          <w:ilvl w:val="0"/>
          <w:numId w:val="1"/>
        </w:numPr>
        <w:spacing w:after="60"/>
      </w:pPr>
      <w:r>
        <w:rPr>
          <w:i/>
          <w:iCs/>
        </w:rPr>
        <w:t xml:space="preserve">Prioridad: </w:t>
      </w:r>
      <w:r>
        <w:rPr>
          <w:b/>
          <w:bCs/>
        </w:rPr>
        <w:t xml:space="preserve">Alta</w:t>
      </w:r>
    </w:p>
    <w:p>
      <w:pPr>
        <w:spacing w:after="80" w:before="180"/>
      </w:pPr>
      <w:r>
        <w:rPr>
          <w:b/>
          <w:bCs/>
        </w:rPr>
        <w:t xml:space="preserve">RF-16 — Trazabilidad end-to-end</w:t>
      </w:r>
    </w:p>
    <w:p>
      <w:pPr>
        <w:pStyle w:val="ListParagraph"/>
        <w:numPr>
          <w:ilvl w:val="0"/>
          <w:numId w:val="1"/>
        </w:numPr>
        <w:spacing w:after="60"/>
      </w:pPr>
      <w:r>
        <w:rPr>
          <w:i/>
          <w:iCs/>
        </w:rPr>
        <w:t xml:space="preserve">Descripción: </w:t>
      </w:r>
      <w:r>
        <w:t xml:space="preserve">mantiene la trazabilidad de cada par de anteojos desde la donación hasta la entrega.</w:t>
      </w:r>
    </w:p>
    <w:p>
      <w:pPr>
        <w:pStyle w:val="ListParagraph"/>
        <w:numPr>
          <w:ilvl w:val="0"/>
          <w:numId w:val="1"/>
        </w:numPr>
        <w:spacing w:after="60"/>
      </w:pPr>
      <w:r>
        <w:rPr>
          <w:i/>
          <w:iCs/>
        </w:rPr>
        <w:t xml:space="preserve">Entradas: </w:t>
      </w:r>
      <w:r>
        <w:t xml:space="preserve">eventos de ciclo de vida (envío a óptica, retorno, entrega, cancelación).</w:t>
      </w:r>
    </w:p>
    <w:p>
      <w:pPr>
        <w:pStyle w:val="ListParagraph"/>
        <w:numPr>
          <w:ilvl w:val="0"/>
          <w:numId w:val="1"/>
        </w:numPr>
        <w:spacing w:after="60"/>
      </w:pPr>
      <w:r>
        <w:rPr>
          <w:i/>
          <w:iCs/>
        </w:rPr>
        <w:t xml:space="preserve">Proceso: </w:t>
      </w:r>
      <w:r>
        <w:t xml:space="preserve">cada transición queda registrada con fecha y responsable, consultable desde la asignación.</w:t>
      </w:r>
    </w:p>
    <w:p>
      <w:pPr>
        <w:pStyle w:val="ListParagraph"/>
        <w:numPr>
          <w:ilvl w:val="0"/>
          <w:numId w:val="1"/>
        </w:numPr>
        <w:spacing w:after="60"/>
      </w:pPr>
      <w:r>
        <w:rPr>
          <w:i/>
          <w:iCs/>
        </w:rPr>
        <w:t xml:space="preserve">Salidas: </w:t>
      </w:r>
      <w:r>
        <w:t xml:space="preserve">historial completo consultable por asignación o por marco.</w:t>
      </w:r>
    </w:p>
    <w:p>
      <w:pPr>
        <w:pStyle w:val="ListParagraph"/>
        <w:numPr>
          <w:ilvl w:val="0"/>
          <w:numId w:val="1"/>
        </w:numPr>
        <w:spacing w:after="60"/>
      </w:pPr>
      <w:r>
        <w:rPr>
          <w:i/>
          <w:iCs/>
        </w:rPr>
        <w:t xml:space="preserve">Prioridad: </w:t>
      </w:r>
      <w:r>
        <w:rPr>
          <w:b/>
          <w:bCs/>
        </w:rPr>
        <w:t xml:space="preserve">Alta</w:t>
      </w:r>
    </w:p>
    <w:p>
      <w:pPr>
        <w:pStyle w:val="Heading3"/>
        <w:spacing w:after="120" w:before="240"/>
      </w:pPr>
      <w:r>
        <w:t xml:space="preserve">Módulo 4 — Probador Virtual</w:t>
      </w:r>
    </w:p>
    <w:p>
      <w:pPr>
        <w:spacing w:after="80" w:before="180"/>
      </w:pPr>
      <w:r>
        <w:rPr>
          <w:b/>
          <w:bCs/>
        </w:rPr>
        <w:t xml:space="preserve">RF-17 — Detección de rostro</w:t>
      </w:r>
    </w:p>
    <w:p>
      <w:pPr>
        <w:pStyle w:val="ListParagraph"/>
        <w:numPr>
          <w:ilvl w:val="0"/>
          <w:numId w:val="1"/>
        </w:numPr>
        <w:spacing w:after="60"/>
      </w:pPr>
      <w:r>
        <w:rPr>
          <w:i/>
          <w:iCs/>
        </w:rPr>
        <w:t xml:space="preserve">Descripción: </w:t>
      </w:r>
      <w:r>
        <w:t xml:space="preserve">detecta el rostro sobre una foto estática del beneficiario usando MediaPipe Face Mesh.</w:t>
      </w:r>
    </w:p>
    <w:p>
      <w:pPr>
        <w:pStyle w:val="ListParagraph"/>
        <w:numPr>
          <w:ilvl w:val="0"/>
          <w:numId w:val="1"/>
        </w:numPr>
        <w:spacing w:after="60"/>
      </w:pPr>
      <w:r>
        <w:rPr>
          <w:i/>
          <w:iCs/>
        </w:rPr>
        <w:t xml:space="preserve">Entradas: </w:t>
      </w:r>
      <w:r>
        <w:t xml:space="preserve">foto estática (cámara o archivo).</w:t>
      </w:r>
    </w:p>
    <w:p>
      <w:pPr>
        <w:pStyle w:val="ListParagraph"/>
        <w:numPr>
          <w:ilvl w:val="0"/>
          <w:numId w:val="1"/>
        </w:numPr>
        <w:spacing w:after="60"/>
      </w:pPr>
      <w:r>
        <w:rPr>
          <w:i/>
          <w:iCs/>
        </w:rPr>
        <w:t xml:space="preserve">Proceso: </w:t>
      </w:r>
      <w:r>
        <w:t xml:space="preserve">procesamiento client-side con MediaPipe; si falla, degrada a estado "no disponible" sin romper el resto de la app.</w:t>
      </w:r>
    </w:p>
    <w:p>
      <w:pPr>
        <w:pStyle w:val="ListParagraph"/>
        <w:numPr>
          <w:ilvl w:val="0"/>
          <w:numId w:val="1"/>
        </w:numPr>
        <w:spacing w:after="60"/>
      </w:pPr>
      <w:r>
        <w:rPr>
          <w:i/>
          <w:iCs/>
        </w:rPr>
        <w:t xml:space="preserve">Salidas: </w:t>
      </w:r>
      <w:r>
        <w:t xml:space="preserve">puntos de referencia faciales (landmarks).</w:t>
      </w:r>
    </w:p>
    <w:p>
      <w:pPr>
        <w:pStyle w:val="ListParagraph"/>
        <w:numPr>
          <w:ilvl w:val="0"/>
          <w:numId w:val="1"/>
        </w:numPr>
        <w:spacing w:after="60"/>
      </w:pPr>
      <w:r>
        <w:rPr>
          <w:i/>
          <w:iCs/>
        </w:rPr>
        <w:t xml:space="preserve">Prioridad: </w:t>
      </w:r>
      <w:r>
        <w:rPr>
          <w:b/>
          <w:bCs/>
        </w:rPr>
        <w:t xml:space="preserve">Media</w:t>
      </w:r>
    </w:p>
    <w:p>
      <w:pPr>
        <w:spacing w:after="80" w:before="180"/>
      </w:pPr>
      <w:r>
        <w:rPr>
          <w:b/>
          <w:bCs/>
        </w:rPr>
        <w:t xml:space="preserve">RF-18 — Superposición 2D del marco</w:t>
      </w:r>
    </w:p>
    <w:p>
      <w:pPr>
        <w:pStyle w:val="ListParagraph"/>
        <w:numPr>
          <w:ilvl w:val="0"/>
          <w:numId w:val="1"/>
        </w:numPr>
        <w:spacing w:after="60"/>
      </w:pPr>
      <w:r>
        <w:rPr>
          <w:i/>
          <w:iCs/>
        </w:rPr>
        <w:t xml:space="preserve">Descripción: </w:t>
      </w:r>
      <w:r>
        <w:t xml:space="preserve">superpone en 2D (Canvas) el marco seleccionado sobre la foto del beneficiario.</w:t>
      </w:r>
    </w:p>
    <w:p>
      <w:pPr>
        <w:pStyle w:val="ListParagraph"/>
        <w:numPr>
          <w:ilvl w:val="0"/>
          <w:numId w:val="1"/>
        </w:numPr>
        <w:spacing w:after="60"/>
      </w:pPr>
      <w:r>
        <w:rPr>
          <w:i/>
          <w:iCs/>
        </w:rPr>
        <w:t xml:space="preserve">Entradas: </w:t>
      </w:r>
      <w:r>
        <w:t xml:space="preserve">landmarks de RF-17, imagen del marco.</w:t>
      </w:r>
    </w:p>
    <w:p>
      <w:pPr>
        <w:pStyle w:val="ListParagraph"/>
        <w:numPr>
          <w:ilvl w:val="0"/>
          <w:numId w:val="1"/>
        </w:numPr>
        <w:spacing w:after="60"/>
      </w:pPr>
      <w:r>
        <w:rPr>
          <w:i/>
          <w:iCs/>
        </w:rPr>
        <w:t xml:space="preserve">Proceso: </w:t>
      </w:r>
      <w:r>
        <w:t xml:space="preserve">posiciona y escala el marco según los landmarks; permite ajuste manual (rotación, altura).</w:t>
      </w:r>
    </w:p>
    <w:p>
      <w:pPr>
        <w:pStyle w:val="ListParagraph"/>
        <w:numPr>
          <w:ilvl w:val="0"/>
          <w:numId w:val="1"/>
        </w:numPr>
        <w:spacing w:after="60"/>
      </w:pPr>
      <w:r>
        <w:rPr>
          <w:i/>
          <w:iCs/>
        </w:rPr>
        <w:t xml:space="preserve">Salidas: </w:t>
      </w:r>
      <w:r>
        <w:t xml:space="preserve">previsualización renderizada en Canvas.</w:t>
      </w:r>
    </w:p>
    <w:p>
      <w:pPr>
        <w:pStyle w:val="ListParagraph"/>
        <w:numPr>
          <w:ilvl w:val="0"/>
          <w:numId w:val="1"/>
        </w:numPr>
        <w:spacing w:after="60"/>
      </w:pPr>
      <w:r>
        <w:rPr>
          <w:i/>
          <w:iCs/>
        </w:rPr>
        <w:t xml:space="preserve">Prioridad: </w:t>
      </w:r>
      <w:r>
        <w:rPr>
          <w:b/>
          <w:bCs/>
        </w:rPr>
        <w:t xml:space="preserve">Media</w:t>
      </w:r>
    </w:p>
    <w:p>
      <w:pPr>
        <w:spacing w:after="80" w:before="180"/>
      </w:pPr>
      <w:r>
        <w:rPr>
          <w:b/>
          <w:bCs/>
        </w:rPr>
        <w:t xml:space="preserve">RF-19 — Selección de distintos marcos</w:t>
      </w:r>
    </w:p>
    <w:p>
      <w:pPr>
        <w:pStyle w:val="ListParagraph"/>
        <w:numPr>
          <w:ilvl w:val="0"/>
          <w:numId w:val="1"/>
        </w:numPr>
        <w:spacing w:after="60"/>
      </w:pPr>
      <w:r>
        <w:rPr>
          <w:i/>
          <w:iCs/>
        </w:rPr>
        <w:t xml:space="preserve">Descripción: </w:t>
      </w:r>
      <w:r>
        <w:t xml:space="preserve">permite seleccionar distintos marcos disponibles para previsualizar cómo lucen.</w:t>
      </w:r>
    </w:p>
    <w:p>
      <w:pPr>
        <w:pStyle w:val="ListParagraph"/>
        <w:numPr>
          <w:ilvl w:val="0"/>
          <w:numId w:val="1"/>
        </w:numPr>
        <w:spacing w:after="60"/>
      </w:pPr>
      <w:r>
        <w:rPr>
          <w:i/>
          <w:iCs/>
        </w:rPr>
        <w:t xml:space="preserve">Entradas: </w:t>
      </w:r>
      <w:r>
        <w:t xml:space="preserve">selección del usuario sobre el catálogo/inventario de marcos.</w:t>
      </w:r>
    </w:p>
    <w:p>
      <w:pPr>
        <w:pStyle w:val="ListParagraph"/>
        <w:numPr>
          <w:ilvl w:val="0"/>
          <w:numId w:val="1"/>
        </w:numPr>
        <w:spacing w:after="60"/>
      </w:pPr>
      <w:r>
        <w:rPr>
          <w:i/>
          <w:iCs/>
        </w:rPr>
        <w:t xml:space="preserve">Proceso: </w:t>
      </w:r>
      <w:r>
        <w:t xml:space="preserve">recalcula la superposición (RF-18) para el marco elegido.</w:t>
      </w:r>
    </w:p>
    <w:p>
      <w:pPr>
        <w:pStyle w:val="ListParagraph"/>
        <w:numPr>
          <w:ilvl w:val="0"/>
          <w:numId w:val="1"/>
        </w:numPr>
        <w:spacing w:after="60"/>
      </w:pPr>
      <w:r>
        <w:rPr>
          <w:i/>
          <w:iCs/>
        </w:rPr>
        <w:t xml:space="preserve">Salidas: </w:t>
      </w:r>
      <w:r>
        <w:t xml:space="preserve">previsualización actualizada.</w:t>
      </w:r>
    </w:p>
    <w:p>
      <w:pPr>
        <w:pStyle w:val="ListParagraph"/>
        <w:numPr>
          <w:ilvl w:val="0"/>
          <w:numId w:val="1"/>
        </w:numPr>
        <w:spacing w:after="60"/>
      </w:pPr>
      <w:r>
        <w:rPr>
          <w:i/>
          <w:iCs/>
        </w:rPr>
        <w:t xml:space="preserve">Prioridad: </w:t>
      </w:r>
      <w:r>
        <w:rPr>
          <w:b/>
          <w:bCs/>
        </w:rPr>
        <w:t xml:space="preserve">Baja</w:t>
      </w:r>
    </w:p>
    <w:p>
      <w:pPr>
        <w:pStyle w:val="Heading3"/>
        <w:spacing w:after="120" w:before="240"/>
      </w:pPr>
      <w:r>
        <w:t xml:space="preserve">Módulo 5 — Turnos y Notificaciones</w:t>
      </w:r>
    </w:p>
    <w:p>
      <w:pPr>
        <w:spacing w:after="80" w:before="180"/>
      </w:pPr>
      <w:r>
        <w:rPr>
          <w:b/>
          <w:bCs/>
        </w:rPr>
        <w:t xml:space="preserve">RF-20 — Registrar turnos</w:t>
      </w:r>
    </w:p>
    <w:p>
      <w:pPr>
        <w:pStyle w:val="ListParagraph"/>
        <w:numPr>
          <w:ilvl w:val="0"/>
          <w:numId w:val="1"/>
        </w:numPr>
        <w:spacing w:after="60"/>
      </w:pPr>
      <w:r>
        <w:rPr>
          <w:i/>
          <w:iCs/>
        </w:rPr>
        <w:t xml:space="preserve">Descripción: </w:t>
      </w:r>
      <w:r>
        <w:t xml:space="preserve">permite registrar turnos de atención para los beneficiarios.</w:t>
      </w:r>
    </w:p>
    <w:p>
      <w:pPr>
        <w:pStyle w:val="ListParagraph"/>
        <w:numPr>
          <w:ilvl w:val="0"/>
          <w:numId w:val="1"/>
        </w:numPr>
        <w:spacing w:after="60"/>
      </w:pPr>
      <w:r>
        <w:rPr>
          <w:i/>
          <w:iCs/>
        </w:rPr>
        <w:t xml:space="preserve">Entradas: </w:t>
      </w:r>
      <w:r>
        <w:t xml:space="preserve">solicitante, fecha/hora deseada.</w:t>
      </w:r>
    </w:p>
    <w:p>
      <w:pPr>
        <w:pStyle w:val="ListParagraph"/>
        <w:numPr>
          <w:ilvl w:val="0"/>
          <w:numId w:val="1"/>
        </w:numPr>
        <w:spacing w:after="60"/>
      </w:pPr>
      <w:r>
        <w:rPr>
          <w:i/>
          <w:iCs/>
        </w:rPr>
        <w:t xml:space="preserve">Proceso: </w:t>
      </w:r>
      <w:r>
        <w:t xml:space="preserve">valida disponibilidad; en el flujo de autogestión, el turno nace en estado PENDING_PAYMENT hasta que se cargue el comprobante del bono contribución, momento en el que pasa a PENDING_REVIEW a la espera de la revisión del operador (RF-21).</w:t>
      </w:r>
    </w:p>
    <w:p>
      <w:pPr>
        <w:pStyle w:val="ListParagraph"/>
        <w:numPr>
          <w:ilvl w:val="0"/>
          <w:numId w:val="1"/>
        </w:numPr>
        <w:spacing w:after="60"/>
      </w:pPr>
      <w:r>
        <w:rPr>
          <w:i/>
          <w:iCs/>
        </w:rPr>
        <w:t xml:space="preserve">Salidas: </w:t>
      </w:r>
      <w:r>
        <w:t xml:space="preserve">turno creado.</w:t>
      </w:r>
    </w:p>
    <w:p>
      <w:pPr>
        <w:pStyle w:val="ListParagraph"/>
        <w:numPr>
          <w:ilvl w:val="0"/>
          <w:numId w:val="1"/>
        </w:numPr>
        <w:spacing w:after="60"/>
      </w:pPr>
      <w:r>
        <w:rPr>
          <w:i/>
          <w:iCs/>
        </w:rPr>
        <w:t xml:space="preserve">Prioridad: </w:t>
      </w:r>
      <w:r>
        <w:rPr>
          <w:b/>
          <w:bCs/>
        </w:rPr>
        <w:t xml:space="preserve">Alta</w:t>
      </w:r>
    </w:p>
    <w:p>
      <w:pPr>
        <w:spacing w:after="80" w:before="180"/>
      </w:pPr>
      <w:r>
        <w:rPr>
          <w:b/>
          <w:bCs/>
        </w:rPr>
        <w:t xml:space="preserve">RF-21 — Gestionar turnos (revisión, reprogramación y cancelación)</w:t>
      </w:r>
    </w:p>
    <w:p>
      <w:pPr>
        <w:pStyle w:val="ListParagraph"/>
        <w:numPr>
          <w:ilvl w:val="0"/>
          <w:numId w:val="1"/>
        </w:numPr>
        <w:spacing w:after="60"/>
      </w:pPr>
      <w:r>
        <w:rPr>
          <w:i/>
          <w:iCs/>
        </w:rPr>
        <w:t xml:space="preserve">Descripción: </w:t>
      </w:r>
      <w:r>
        <w:t xml:space="preserve">permite revisar y aprobar el comprobante del bono contribución, y reprogramar o cancelar turnos.</w:t>
      </w:r>
    </w:p>
    <w:p>
      <w:pPr>
        <w:pStyle w:val="ListParagraph"/>
        <w:numPr>
          <w:ilvl w:val="0"/>
          <w:numId w:val="1"/>
        </w:numPr>
        <w:spacing w:after="60"/>
      </w:pPr>
      <w:r>
        <w:rPr>
          <w:i/>
          <w:iCs/>
        </w:rPr>
        <w:t xml:space="preserve">Entradas: </w:t>
      </w:r>
      <w:r>
        <w:t xml:space="preserve">turno existente, nueva fecha/hora o motivo de cancelación.</w:t>
      </w:r>
    </w:p>
    <w:p>
      <w:pPr>
        <w:pStyle w:val="ListParagraph"/>
        <w:numPr>
          <w:ilvl w:val="0"/>
          <w:numId w:val="1"/>
        </w:numPr>
        <w:spacing w:after="60"/>
      </w:pPr>
      <w:r>
        <w:rPr>
          <w:i/>
          <w:iCs/>
        </w:rPr>
        <w:t xml:space="preserve">Proceso: </w:t>
      </w:r>
      <w:r>
        <w:t xml:space="preserve">el turno cargado con comprobante (PENDING_REVIEW) no queda confirmado automáticamente: el operador lo revisa y recién ahí lo aprueba (PENDING_REVIEW → SCHEDULED, dispara RF-22) o lo cancela si el comprobante tiene un problema. Un turno ya SCHEDULED se puede reprogramar (conserva el estado) o cancelar; valida pertenencia del turno (el beneficiario solo puede gestionar los propios). El sistema valida además que el archivo subido sea realmente un PDF, JPG o PNG (por firma de bytes, no solo por el content-type declarado) y, si es PDF, que su texto sea compatible con un comprobante de pago.</w:t>
      </w:r>
    </w:p>
    <w:p>
      <w:pPr>
        <w:pStyle w:val="ListParagraph"/>
        <w:numPr>
          <w:ilvl w:val="0"/>
          <w:numId w:val="1"/>
        </w:numPr>
        <w:spacing w:after="60"/>
      </w:pPr>
      <w:r>
        <w:rPr>
          <w:i/>
          <w:iCs/>
        </w:rPr>
        <w:t xml:space="preserve">Salidas: </w:t>
      </w:r>
      <w:r>
        <w:t xml:space="preserve">turno actualizado.</w:t>
      </w:r>
    </w:p>
    <w:p>
      <w:pPr>
        <w:pStyle w:val="ListParagraph"/>
        <w:numPr>
          <w:ilvl w:val="0"/>
          <w:numId w:val="1"/>
        </w:numPr>
        <w:spacing w:after="60"/>
      </w:pPr>
      <w:r>
        <w:rPr>
          <w:i/>
          <w:iCs/>
        </w:rPr>
        <w:t xml:space="preserve">Prioridad: </w:t>
      </w:r>
      <w:r>
        <w:rPr>
          <w:b/>
          <w:bCs/>
        </w:rPr>
        <w:t xml:space="preserve">Alta</w:t>
      </w:r>
    </w:p>
    <w:p>
      <w:pPr>
        <w:spacing w:after="80" w:before="180"/>
      </w:pPr>
      <w:r>
        <w:rPr>
          <w:b/>
          <w:bCs/>
        </w:rPr>
        <w:t xml:space="preserve">RF-22 — Notificaciones automáticas de turnos</w:t>
      </w:r>
    </w:p>
    <w:p>
      <w:pPr>
        <w:pStyle w:val="ListParagraph"/>
        <w:numPr>
          <w:ilvl w:val="0"/>
          <w:numId w:val="1"/>
        </w:numPr>
        <w:spacing w:after="60"/>
      </w:pPr>
      <w:r>
        <w:rPr>
          <w:i/>
          <w:iCs/>
        </w:rPr>
        <w:t xml:space="preserve">Descripción: </w:t>
      </w:r>
      <w:r>
        <w:t xml:space="preserve">envía notificaciones automáticas por correo electrónico, vía SMTP, asociadas a los turnos (confirmación al pasar a SCHEDULED, reprogramación, cancelación).</w:t>
      </w:r>
    </w:p>
    <w:p>
      <w:pPr>
        <w:pStyle w:val="ListParagraph"/>
        <w:numPr>
          <w:ilvl w:val="0"/>
          <w:numId w:val="1"/>
        </w:numPr>
        <w:spacing w:after="60"/>
      </w:pPr>
      <w:r>
        <w:rPr>
          <w:i/>
          <w:iCs/>
        </w:rPr>
        <w:t xml:space="preserve">Entradas: </w:t>
      </w:r>
      <w:r>
        <w:t xml:space="preserve">evento de turno (confirmación, reprogramación, cancelación).</w:t>
      </w:r>
    </w:p>
    <w:p>
      <w:pPr>
        <w:pStyle w:val="ListParagraph"/>
        <w:numPr>
          <w:ilvl w:val="0"/>
          <w:numId w:val="1"/>
        </w:numPr>
        <w:spacing w:after="60"/>
      </w:pPr>
      <w:r>
        <w:rPr>
          <w:i/>
          <w:iCs/>
        </w:rPr>
        <w:t xml:space="preserve">Proceso: </w:t>
      </w:r>
      <w:r>
        <w:t xml:space="preserve">NotificationClient (EmailNotificationClientHandler) arma el email y lo envía por SMTP (JavaMailSender, configurado por MAIL_HOST/MAIL_USERNAME/MAIL_PASSWORD/MAIL_FROM). Si el solicitante no tiene email cargado o el SMTP no está configurado, el envío se saltea con un log; un fallo en el envío no debe interrumpir el flujo principal (operación best effort, el turno ya quedó guardado).</w:t>
      </w:r>
    </w:p>
    <w:p>
      <w:pPr>
        <w:pStyle w:val="ListParagraph"/>
        <w:numPr>
          <w:ilvl w:val="0"/>
          <w:numId w:val="1"/>
        </w:numPr>
        <w:spacing w:after="60"/>
      </w:pPr>
      <w:r>
        <w:rPr>
          <w:i/>
          <w:iCs/>
        </w:rPr>
        <w:t xml:space="preserve">Salidas: </w:t>
      </w:r>
      <w:r>
        <w:t xml:space="preserve">email de notificación entregado al beneficiario.</w:t>
      </w:r>
    </w:p>
    <w:p>
      <w:pPr>
        <w:pStyle w:val="ListParagraph"/>
        <w:numPr>
          <w:ilvl w:val="0"/>
          <w:numId w:val="1"/>
        </w:numPr>
        <w:spacing w:after="60"/>
      </w:pPr>
      <w:r>
        <w:rPr>
          <w:i/>
          <w:iCs/>
        </w:rPr>
        <w:t xml:space="preserve">Prioridad: </w:t>
      </w:r>
      <w:r>
        <w:rPr>
          <w:b/>
          <w:bCs/>
        </w:rPr>
        <w:t xml:space="preserve">Media</w:t>
      </w:r>
    </w:p>
    <w:p>
      <w:pPr>
        <w:pStyle w:val="Heading3"/>
        <w:spacing w:after="120" w:before="240"/>
      </w:pPr>
      <w:r>
        <w:t xml:space="preserve">Módulo 6 — Logística e Integración 17TRACK</w:t>
      </w:r>
    </w:p>
    <w:p>
      <w:pPr>
        <w:spacing w:after="80" w:before="180"/>
      </w:pPr>
      <w:r>
        <w:rPr>
          <w:b/>
          <w:bCs/>
        </w:rPr>
        <w:t xml:space="preserve">RF-23 — Registrar envío en 17TRACK</w:t>
      </w:r>
    </w:p>
    <w:p>
      <w:pPr>
        <w:pStyle w:val="ListParagraph"/>
        <w:numPr>
          <w:ilvl w:val="0"/>
          <w:numId w:val="1"/>
        </w:numPr>
        <w:spacing w:after="60"/>
      </w:pPr>
      <w:r>
        <w:rPr>
          <w:i/>
          <w:iCs/>
        </w:rPr>
        <w:t xml:space="preserve">Descripción: </w:t>
      </w:r>
      <w:r>
        <w:t xml:space="preserve">registra los envíos en 17TRACK (/register) para seguimiento de Vía Cargo.</w:t>
      </w:r>
    </w:p>
    <w:p>
      <w:pPr>
        <w:pStyle w:val="ListParagraph"/>
        <w:numPr>
          <w:ilvl w:val="0"/>
          <w:numId w:val="1"/>
        </w:numPr>
        <w:spacing w:after="60"/>
      </w:pPr>
      <w:r>
        <w:rPr>
          <w:i/>
          <w:iCs/>
        </w:rPr>
        <w:t xml:space="preserve">Entradas: </w:t>
      </w:r>
      <w:r>
        <w:t xml:space="preserve">datos del envío (origen, destino, número de seguimiento de Vía Cargo).</w:t>
      </w:r>
    </w:p>
    <w:p>
      <w:pPr>
        <w:pStyle w:val="ListParagraph"/>
        <w:numPr>
          <w:ilvl w:val="0"/>
          <w:numId w:val="1"/>
        </w:numPr>
        <w:spacing w:after="60"/>
      </w:pPr>
      <w:r>
        <w:rPr>
          <w:i/>
          <w:iCs/>
        </w:rPr>
        <w:t xml:space="preserve">Proceso: </w:t>
      </w:r>
      <w:r>
        <w:t xml:space="preserve">llama al endpoint /register de 17TRACK vía TrackingClient; crea el Shipment en estado despachado.</w:t>
      </w:r>
    </w:p>
    <w:p>
      <w:pPr>
        <w:pStyle w:val="ListParagraph"/>
        <w:numPr>
          <w:ilvl w:val="0"/>
          <w:numId w:val="1"/>
        </w:numPr>
        <w:spacing w:after="60"/>
      </w:pPr>
      <w:r>
        <w:rPr>
          <w:i/>
          <w:iCs/>
        </w:rPr>
        <w:t xml:space="preserve">Salidas: </w:t>
      </w:r>
      <w:r>
        <w:t xml:space="preserve">envío registrado y en seguimiento.</w:t>
      </w:r>
    </w:p>
    <w:p>
      <w:pPr>
        <w:pStyle w:val="ListParagraph"/>
        <w:numPr>
          <w:ilvl w:val="0"/>
          <w:numId w:val="1"/>
        </w:numPr>
        <w:spacing w:after="60"/>
      </w:pPr>
      <w:r>
        <w:rPr>
          <w:i/>
          <w:iCs/>
        </w:rPr>
        <w:t xml:space="preserve">Prioridad: </w:t>
      </w:r>
      <w:r>
        <w:rPr>
          <w:b/>
          <w:bCs/>
        </w:rPr>
        <w:t xml:space="preserve">Media</w:t>
      </w:r>
    </w:p>
    <w:p>
      <w:pPr>
        <w:spacing w:after="80" w:before="180"/>
      </w:pPr>
      <w:r>
        <w:rPr>
          <w:b/>
          <w:bCs/>
        </w:rPr>
        <w:t xml:space="preserve">RF-24 — Actualizaciones automáticas por webhook</w:t>
      </w:r>
    </w:p>
    <w:p>
      <w:pPr>
        <w:pStyle w:val="ListParagraph"/>
        <w:numPr>
          <w:ilvl w:val="0"/>
          <w:numId w:val="1"/>
        </w:numPr>
        <w:spacing w:after="60"/>
      </w:pPr>
      <w:r>
        <w:rPr>
          <w:i/>
          <w:iCs/>
        </w:rPr>
        <w:t xml:space="preserve">Descripción: </w:t>
      </w:r>
      <w:r>
        <w:t xml:space="preserve">recibe actualizaciones automáticas del estado de los envíos mediante webhook push de 17TRACK.</w:t>
      </w:r>
    </w:p>
    <w:p>
      <w:pPr>
        <w:pStyle w:val="ListParagraph"/>
        <w:numPr>
          <w:ilvl w:val="0"/>
          <w:numId w:val="1"/>
        </w:numPr>
        <w:spacing w:after="60"/>
      </w:pPr>
      <w:r>
        <w:rPr>
          <w:i/>
          <w:iCs/>
        </w:rPr>
        <w:t xml:space="preserve">Entradas: </w:t>
      </w:r>
      <w:r>
        <w:t xml:space="preserve">payload del webhook (POST /v1/shipments/webhook).</w:t>
      </w:r>
    </w:p>
    <w:p>
      <w:pPr>
        <w:pStyle w:val="ListParagraph"/>
        <w:numPr>
          <w:ilvl w:val="0"/>
          <w:numId w:val="1"/>
        </w:numPr>
        <w:spacing w:after="60"/>
      </w:pPr>
      <w:r>
        <w:rPr>
          <w:i/>
          <w:iCs/>
        </w:rPr>
        <w:t xml:space="preserve">Proceso: </w:t>
      </w:r>
      <w:r>
        <w:t xml:space="preserve">valida el payload, actualiza el estado del Shipment y registra un ShipmentEvent.</w:t>
      </w:r>
    </w:p>
    <w:p>
      <w:pPr>
        <w:pStyle w:val="ListParagraph"/>
        <w:numPr>
          <w:ilvl w:val="0"/>
          <w:numId w:val="1"/>
        </w:numPr>
        <w:spacing w:after="60"/>
      </w:pPr>
      <w:r>
        <w:rPr>
          <w:i/>
          <w:iCs/>
        </w:rPr>
        <w:t xml:space="preserve">Salidas: </w:t>
      </w:r>
      <w:r>
        <w:t xml:space="preserve">estado del envío actualizado, evento trazado.</w:t>
      </w:r>
    </w:p>
    <w:p>
      <w:pPr>
        <w:pStyle w:val="ListParagraph"/>
        <w:numPr>
          <w:ilvl w:val="0"/>
          <w:numId w:val="1"/>
        </w:numPr>
        <w:spacing w:after="60"/>
      </w:pPr>
      <w:r>
        <w:rPr>
          <w:i/>
          <w:iCs/>
        </w:rPr>
        <w:t xml:space="preserve">Prioridad: </w:t>
      </w:r>
      <w:r>
        <w:rPr>
          <w:b/>
          <w:bCs/>
        </w:rPr>
        <w:t xml:space="preserve">Media</w:t>
      </w:r>
    </w:p>
    <w:p>
      <w:pPr>
        <w:spacing w:after="80" w:before="180"/>
      </w:pPr>
      <w:r>
        <w:rPr>
          <w:b/>
          <w:bCs/>
        </w:rPr>
        <w:t xml:space="preserve">RF-25 — Consultar estado y trazabilidad de envíos</w:t>
      </w:r>
    </w:p>
    <w:p>
      <w:pPr>
        <w:pStyle w:val="ListParagraph"/>
        <w:numPr>
          <w:ilvl w:val="0"/>
          <w:numId w:val="1"/>
        </w:numPr>
        <w:spacing w:after="60"/>
      </w:pPr>
      <w:r>
        <w:rPr>
          <w:i/>
          <w:iCs/>
        </w:rPr>
        <w:t xml:space="preserve">Descripción: </w:t>
      </w:r>
      <w:r>
        <w:t xml:space="preserve">permite consultar el estado y la trazabilidad de los envíos entre sucursales.</w:t>
      </w:r>
    </w:p>
    <w:p>
      <w:pPr>
        <w:pStyle w:val="ListParagraph"/>
        <w:numPr>
          <w:ilvl w:val="0"/>
          <w:numId w:val="1"/>
        </w:numPr>
        <w:spacing w:after="60"/>
      </w:pPr>
      <w:r>
        <w:rPr>
          <w:i/>
          <w:iCs/>
        </w:rPr>
        <w:t xml:space="preserve">Entradas: </w:t>
      </w:r>
      <w:r>
        <w:t xml:space="preserve">ID de envío o filtros.</w:t>
      </w:r>
    </w:p>
    <w:p>
      <w:pPr>
        <w:pStyle w:val="ListParagraph"/>
        <w:numPr>
          <w:ilvl w:val="0"/>
          <w:numId w:val="1"/>
        </w:numPr>
        <w:spacing w:after="60"/>
      </w:pPr>
      <w:r>
        <w:rPr>
          <w:i/>
          <w:iCs/>
        </w:rPr>
        <w:t xml:space="preserve">Proceso: </w:t>
      </w:r>
      <w:r>
        <w:t xml:space="preserve">consulta el envío y su historial de eventos.</w:t>
      </w:r>
    </w:p>
    <w:p>
      <w:pPr>
        <w:pStyle w:val="ListParagraph"/>
        <w:numPr>
          <w:ilvl w:val="0"/>
          <w:numId w:val="1"/>
        </w:numPr>
        <w:spacing w:after="60"/>
      </w:pPr>
      <w:r>
        <w:rPr>
          <w:i/>
          <w:iCs/>
        </w:rPr>
        <w:t xml:space="preserve">Salidas: </w:t>
      </w:r>
      <w:r>
        <w:t xml:space="preserve">estado actual + historial.</w:t>
      </w:r>
    </w:p>
    <w:p>
      <w:pPr>
        <w:pStyle w:val="ListParagraph"/>
        <w:numPr>
          <w:ilvl w:val="0"/>
          <w:numId w:val="1"/>
        </w:numPr>
        <w:spacing w:after="60"/>
      </w:pPr>
      <w:r>
        <w:rPr>
          <w:i/>
          <w:iCs/>
        </w:rPr>
        <w:t xml:space="preserve">Prioridad: </w:t>
      </w:r>
      <w:r>
        <w:rPr>
          <w:b/>
          <w:bCs/>
        </w:rPr>
        <w:t xml:space="preserve">Media</w:t>
      </w:r>
    </w:p>
    <w:p>
      <w:pPr>
        <w:pStyle w:val="Heading3"/>
        <w:spacing w:after="120" w:before="240"/>
      </w:pPr>
      <w:r>
        <w:t xml:space="preserve">Módulo 7 — Panel de Impacto</w:t>
      </w:r>
    </w:p>
    <w:p>
      <w:pPr>
        <w:spacing w:after="80" w:before="180"/>
      </w:pPr>
      <w:r>
        <w:rPr>
          <w:b/>
          <w:bCs/>
        </w:rPr>
        <w:t xml:space="preserve">RF-26 — Panel de indicadores de impacto social</w:t>
      </w:r>
    </w:p>
    <w:p>
      <w:pPr>
        <w:pStyle w:val="ListParagraph"/>
        <w:numPr>
          <w:ilvl w:val="0"/>
          <w:numId w:val="1"/>
        </w:numPr>
        <w:spacing w:after="60"/>
      </w:pPr>
      <w:r>
        <w:rPr>
          <w:i/>
          <w:iCs/>
        </w:rPr>
        <w:t xml:space="preserve">Descripción: </w:t>
      </w:r>
      <w:r>
        <w:t xml:space="preserve">presenta indicadores como entregas realizadas y beneficiarios atendidos.</w:t>
      </w:r>
    </w:p>
    <w:p>
      <w:pPr>
        <w:pStyle w:val="ListParagraph"/>
        <w:numPr>
          <w:ilvl w:val="0"/>
          <w:numId w:val="1"/>
        </w:numPr>
        <w:spacing w:after="60"/>
      </w:pPr>
      <w:r>
        <w:rPr>
          <w:i/>
          <w:iCs/>
        </w:rPr>
        <w:t xml:space="preserve">Entradas: </w:t>
      </w:r>
      <w:r>
        <w:t xml:space="preserve">ninguna (agregación de datos existentes).</w:t>
      </w:r>
    </w:p>
    <w:p>
      <w:pPr>
        <w:pStyle w:val="ListParagraph"/>
        <w:numPr>
          <w:ilvl w:val="0"/>
          <w:numId w:val="1"/>
        </w:numPr>
        <w:spacing w:after="60"/>
      </w:pPr>
      <w:r>
        <w:rPr>
          <w:i/>
          <w:iCs/>
        </w:rPr>
        <w:t xml:space="preserve">Proceso: </w:t>
      </w:r>
      <w:r>
        <w:t xml:space="preserve">calcula agregados (conteos, sumas) sobre asignaciones, entregas y turnos.</w:t>
      </w:r>
    </w:p>
    <w:p>
      <w:pPr>
        <w:pStyle w:val="ListParagraph"/>
        <w:numPr>
          <w:ilvl w:val="0"/>
          <w:numId w:val="1"/>
        </w:numPr>
        <w:spacing w:after="60"/>
      </w:pPr>
      <w:r>
        <w:rPr>
          <w:i/>
          <w:iCs/>
        </w:rPr>
        <w:t xml:space="preserve">Salidas: </w:t>
      </w:r>
      <w:r>
        <w:t xml:space="preserve">panel con indicadores clave.</w:t>
      </w:r>
    </w:p>
    <w:p>
      <w:pPr>
        <w:pStyle w:val="ListParagraph"/>
        <w:numPr>
          <w:ilvl w:val="0"/>
          <w:numId w:val="1"/>
        </w:numPr>
        <w:spacing w:after="60"/>
      </w:pPr>
      <w:r>
        <w:rPr>
          <w:i/>
          <w:iCs/>
        </w:rPr>
        <w:t xml:space="preserve">Prioridad: </w:t>
      </w:r>
      <w:r>
        <w:rPr>
          <w:b/>
          <w:bCs/>
        </w:rPr>
        <w:t xml:space="preserve">Media</w:t>
      </w:r>
    </w:p>
    <w:p>
      <w:pPr>
        <w:spacing w:after="80" w:before="180"/>
      </w:pPr>
      <w:r>
        <w:rPr>
          <w:b/>
          <w:bCs/>
        </w:rPr>
        <w:t xml:space="preserve">RF-27 — Métricas agregadas por período</w:t>
      </w:r>
    </w:p>
    <w:p>
      <w:pPr>
        <w:pStyle w:val="ListParagraph"/>
        <w:numPr>
          <w:ilvl w:val="0"/>
          <w:numId w:val="1"/>
        </w:numPr>
        <w:spacing w:after="60"/>
      </w:pPr>
      <w:r>
        <w:rPr>
          <w:i/>
          <w:iCs/>
        </w:rPr>
        <w:t xml:space="preserve">Descripción: </w:t>
      </w:r>
      <w:r>
        <w:t xml:space="preserve">permite visualizar métricas agregadas filtradas por período.</w:t>
      </w:r>
    </w:p>
    <w:p>
      <w:pPr>
        <w:pStyle w:val="ListParagraph"/>
        <w:numPr>
          <w:ilvl w:val="0"/>
          <w:numId w:val="1"/>
        </w:numPr>
        <w:spacing w:after="60"/>
      </w:pPr>
      <w:r>
        <w:rPr>
          <w:i/>
          <w:iCs/>
        </w:rPr>
        <w:t xml:space="preserve">Entradas: </w:t>
      </w:r>
      <w:r>
        <w:t xml:space="preserve">rango de fechas.</w:t>
      </w:r>
    </w:p>
    <w:p>
      <w:pPr>
        <w:pStyle w:val="ListParagraph"/>
        <w:numPr>
          <w:ilvl w:val="0"/>
          <w:numId w:val="1"/>
        </w:numPr>
        <w:spacing w:after="60"/>
      </w:pPr>
      <w:r>
        <w:rPr>
          <w:i/>
          <w:iCs/>
        </w:rPr>
        <w:t xml:space="preserve">Proceso: </w:t>
      </w:r>
      <w:r>
        <w:t xml:space="preserve">recalcula los indicadores de RF-26 acotados al período.</w:t>
      </w:r>
    </w:p>
    <w:p>
      <w:pPr>
        <w:pStyle w:val="ListParagraph"/>
        <w:numPr>
          <w:ilvl w:val="0"/>
          <w:numId w:val="1"/>
        </w:numPr>
        <w:spacing w:after="60"/>
      </w:pPr>
      <w:r>
        <w:rPr>
          <w:i/>
          <w:iCs/>
        </w:rPr>
        <w:t xml:space="preserve">Salidas: </w:t>
      </w:r>
      <w:r>
        <w:t xml:space="preserve">métricas del período solicitado.</w:t>
      </w:r>
    </w:p>
    <w:p>
      <w:pPr>
        <w:pStyle w:val="ListParagraph"/>
        <w:numPr>
          <w:ilvl w:val="0"/>
          <w:numId w:val="1"/>
        </w:numPr>
        <w:spacing w:after="60"/>
      </w:pPr>
      <w:r>
        <w:rPr>
          <w:i/>
          <w:iCs/>
        </w:rPr>
        <w:t xml:space="preserve">Prioridad: </w:t>
      </w:r>
      <w:r>
        <w:rPr>
          <w:b/>
          <w:bCs/>
        </w:rPr>
        <w:t xml:space="preserve">Baja</w:t>
      </w:r>
    </w:p>
    <w:p>
      <w:pPr>
        <w:pStyle w:val="Heading3"/>
        <w:spacing w:after="120" w:before="240"/>
      </w:pPr>
      <w:r>
        <w:t xml:space="preserve">Módulo 8 — Catálogo de Venta</w:t>
      </w:r>
    </w:p>
    <w:p>
      <w:pPr>
        <w:spacing w:after="80" w:before="180"/>
      </w:pPr>
      <w:r>
        <w:rPr>
          <w:b/>
          <w:bCs/>
        </w:rPr>
        <w:t xml:space="preserve">RF-28 — Catálogo digital de anteojos de sol</w:t>
      </w:r>
    </w:p>
    <w:p>
      <w:pPr>
        <w:pStyle w:val="ListParagraph"/>
        <w:numPr>
          <w:ilvl w:val="0"/>
          <w:numId w:val="1"/>
        </w:numPr>
        <w:spacing w:after="60"/>
      </w:pPr>
      <w:r>
        <w:rPr>
          <w:i/>
          <w:iCs/>
        </w:rPr>
        <w:t xml:space="preserve">Descripción: </w:t>
      </w:r>
      <w:r>
        <w:t xml:space="preserve">muestra un catálogo de anteojos de sol disponibles con su precio.</w:t>
      </w:r>
    </w:p>
    <w:p>
      <w:pPr>
        <w:pStyle w:val="ListParagraph"/>
        <w:numPr>
          <w:ilvl w:val="0"/>
          <w:numId w:val="1"/>
        </w:numPr>
        <w:spacing w:after="60"/>
      </w:pPr>
      <w:r>
        <w:rPr>
          <w:i/>
          <w:iCs/>
        </w:rPr>
        <w:t xml:space="preserve">Entradas: </w:t>
      </w:r>
      <w:r>
        <w:t xml:space="preserve">ninguna (consulta pública).</w:t>
      </w:r>
    </w:p>
    <w:p>
      <w:pPr>
        <w:pStyle w:val="ListParagraph"/>
        <w:numPr>
          <w:ilvl w:val="0"/>
          <w:numId w:val="1"/>
        </w:numPr>
        <w:spacing w:after="60"/>
      </w:pPr>
      <w:r>
        <w:rPr>
          <w:i/>
          <w:iCs/>
        </w:rPr>
        <w:t xml:space="preserve">Proceso: </w:t>
      </w:r>
      <w:r>
        <w:t xml:space="preserve">lista productos en estado activo, con imagen y precio.</w:t>
      </w:r>
    </w:p>
    <w:p>
      <w:pPr>
        <w:pStyle w:val="ListParagraph"/>
        <w:numPr>
          <w:ilvl w:val="0"/>
          <w:numId w:val="1"/>
        </w:numPr>
        <w:spacing w:after="60"/>
      </w:pPr>
      <w:r>
        <w:rPr>
          <w:i/>
          <w:iCs/>
        </w:rPr>
        <w:t xml:space="preserve">Salidas: </w:t>
      </w:r>
      <w:r>
        <w:t xml:space="preserve">catálogo visible.</w:t>
      </w:r>
    </w:p>
    <w:p>
      <w:pPr>
        <w:pStyle w:val="ListParagraph"/>
        <w:numPr>
          <w:ilvl w:val="0"/>
          <w:numId w:val="1"/>
        </w:numPr>
        <w:spacing w:after="60"/>
      </w:pPr>
      <w:r>
        <w:rPr>
          <w:i/>
          <w:iCs/>
        </w:rPr>
        <w:t xml:space="preserve">Prioridad: </w:t>
      </w:r>
      <w:r>
        <w:rPr>
          <w:b/>
          <w:bCs/>
        </w:rPr>
        <w:t xml:space="preserve">Media</w:t>
      </w:r>
    </w:p>
    <w:p>
      <w:pPr>
        <w:spacing w:after="80" w:before="180"/>
      </w:pPr>
      <w:r>
        <w:rPr>
          <w:b/>
          <w:bCs/>
        </w:rPr>
        <w:t xml:space="preserve">RF-29 — Registrar venta con descuento de stock</w:t>
      </w:r>
    </w:p>
    <w:p>
      <w:pPr>
        <w:pStyle w:val="ListParagraph"/>
        <w:numPr>
          <w:ilvl w:val="0"/>
          <w:numId w:val="1"/>
        </w:numPr>
        <w:spacing w:after="60"/>
      </w:pPr>
      <w:r>
        <w:rPr>
          <w:i/>
          <w:iCs/>
        </w:rPr>
        <w:t xml:space="preserve">Descripción: </w:t>
      </w:r>
      <w:r>
        <w:t xml:space="preserve">permite registrar una venta con descuento automático del stock disponible.</w:t>
      </w:r>
    </w:p>
    <w:p>
      <w:pPr>
        <w:pStyle w:val="ListParagraph"/>
        <w:numPr>
          <w:ilvl w:val="0"/>
          <w:numId w:val="1"/>
        </w:numPr>
        <w:spacing w:after="60"/>
      </w:pPr>
      <w:r>
        <w:rPr>
          <w:i/>
          <w:iCs/>
        </w:rPr>
        <w:t xml:space="preserve">Entradas: </w:t>
      </w:r>
      <w:r>
        <w:t xml:space="preserve">producto, cantidad.</w:t>
      </w:r>
    </w:p>
    <w:p>
      <w:pPr>
        <w:pStyle w:val="ListParagraph"/>
        <w:numPr>
          <w:ilvl w:val="0"/>
          <w:numId w:val="1"/>
        </w:numPr>
        <w:spacing w:after="60"/>
      </w:pPr>
      <w:r>
        <w:rPr>
          <w:i/>
          <w:iCs/>
        </w:rPr>
        <w:t xml:space="preserve">Proceso: </w:t>
      </w:r>
      <w:r>
        <w:t xml:space="preserve">valida stock suficiente; crea la Sale y descuenta unidades del Product.</w:t>
      </w:r>
    </w:p>
    <w:p>
      <w:pPr>
        <w:pStyle w:val="ListParagraph"/>
        <w:numPr>
          <w:ilvl w:val="0"/>
          <w:numId w:val="1"/>
        </w:numPr>
        <w:spacing w:after="60"/>
      </w:pPr>
      <w:r>
        <w:rPr>
          <w:i/>
          <w:iCs/>
        </w:rPr>
        <w:t xml:space="preserve">Salidas: </w:t>
      </w:r>
      <w:r>
        <w:t xml:space="preserve">venta registrada, stock actualizado.</w:t>
      </w:r>
    </w:p>
    <w:p>
      <w:pPr>
        <w:pStyle w:val="ListParagraph"/>
        <w:numPr>
          <w:ilvl w:val="0"/>
          <w:numId w:val="1"/>
        </w:numPr>
        <w:spacing w:after="60"/>
      </w:pPr>
      <w:r>
        <w:rPr>
          <w:i/>
          <w:iCs/>
        </w:rPr>
        <w:t xml:space="preserve">Prioridad: </w:t>
      </w:r>
      <w:r>
        <w:rPr>
          <w:b/>
          <w:bCs/>
        </w:rPr>
        <w:t xml:space="preserve">Media</w:t>
      </w:r>
    </w:p>
    <w:p>
      <w:pPr>
        <w:spacing w:after="80" w:before="180"/>
      </w:pPr>
      <w:r>
        <w:rPr>
          <w:b/>
          <w:bCs/>
        </w:rPr>
        <w:t xml:space="preserve">RF-30 — Gestionar stock del catálogo</w:t>
      </w:r>
    </w:p>
    <w:p>
      <w:pPr>
        <w:pStyle w:val="ListParagraph"/>
        <w:numPr>
          <w:ilvl w:val="0"/>
          <w:numId w:val="1"/>
        </w:numPr>
        <w:spacing w:after="60"/>
      </w:pPr>
      <w:r>
        <w:rPr>
          <w:i/>
          <w:iCs/>
        </w:rPr>
        <w:t xml:space="preserve">Descripción: </w:t>
      </w:r>
      <w:r>
        <w:t xml:space="preserve">permite cargar, actualizar y dar de baja productos del catálogo.</w:t>
      </w:r>
    </w:p>
    <w:p>
      <w:pPr>
        <w:pStyle w:val="ListParagraph"/>
        <w:numPr>
          <w:ilvl w:val="0"/>
          <w:numId w:val="1"/>
        </w:numPr>
        <w:spacing w:after="60"/>
      </w:pPr>
      <w:r>
        <w:rPr>
          <w:i/>
          <w:iCs/>
        </w:rPr>
        <w:t xml:space="preserve">Entradas: </w:t>
      </w:r>
      <w:r>
        <w:t xml:space="preserve">datos del producto (alta/edición) o baja lógica.</w:t>
      </w:r>
    </w:p>
    <w:p>
      <w:pPr>
        <w:pStyle w:val="ListParagraph"/>
        <w:numPr>
          <w:ilvl w:val="0"/>
          <w:numId w:val="1"/>
        </w:numPr>
        <w:spacing w:after="60"/>
      </w:pPr>
      <w:r>
        <w:rPr>
          <w:i/>
          <w:iCs/>
        </w:rPr>
        <w:t xml:space="preserve">Proceso: </w:t>
      </w:r>
      <w:r>
        <w:t xml:space="preserve">CRUD sobre Product, incluyendo discontinuación (baja lógica, no borrado físico).</w:t>
      </w:r>
    </w:p>
    <w:p>
      <w:pPr>
        <w:pStyle w:val="ListParagraph"/>
        <w:numPr>
          <w:ilvl w:val="0"/>
          <w:numId w:val="1"/>
        </w:numPr>
        <w:spacing w:after="60"/>
      </w:pPr>
      <w:r>
        <w:rPr>
          <w:i/>
          <w:iCs/>
        </w:rPr>
        <w:t xml:space="preserve">Salidas: </w:t>
      </w:r>
      <w:r>
        <w:t xml:space="preserve">catálogo actualizado.</w:t>
      </w:r>
    </w:p>
    <w:p>
      <w:pPr>
        <w:pStyle w:val="ListParagraph"/>
        <w:numPr>
          <w:ilvl w:val="0"/>
          <w:numId w:val="1"/>
        </w:numPr>
        <w:spacing w:after="60"/>
      </w:pPr>
      <w:r>
        <w:rPr>
          <w:i/>
          <w:iCs/>
        </w:rPr>
        <w:t xml:space="preserve">Prioridad: </w:t>
      </w:r>
      <w:r>
        <w:rPr>
          <w:b/>
          <w:bCs/>
        </w:rPr>
        <w:t xml:space="preserve">Media</w:t>
      </w:r>
    </w:p>
    <w:p>
      <w:pPr>
        <w:pStyle w:val="Heading2"/>
        <w:spacing w:after="150" w:before="300"/>
      </w:pPr>
      <w:r>
        <w:t xml:space="preserve">3.3 Requisitos no funcionales</w:t>
      </w:r>
    </w:p>
    <w:p>
      <w:pPr>
        <w:spacing w:after="80" w:before="180"/>
      </w:pPr>
      <w:r>
        <w:rPr>
          <w:b/>
          <w:bCs/>
        </w:rPr>
        <w:t xml:space="preserve">RNF-01 — Autenticación y autorización</w:t>
      </w:r>
    </w:p>
    <w:p>
      <w:pPr>
        <w:spacing w:after="120"/>
      </w:pPr>
      <w:r>
        <w:t xml:space="preserve">Autenticación mediante JWT stateless, con roles diferenciados ADMIN, OPERATOR y APPLICANT. Cada endpoint valida el rol requerido; el rol APPLICANT solo accede a sus propios recursos (/v1/me/**), nunca a los de otro beneficiario.</w:t>
      </w:r>
    </w:p>
    <w:p>
      <w:pPr>
        <w:spacing w:after="120"/>
      </w:pPr>
      <w:r>
        <w:rPr>
          <w:i/>
          <w:iCs/>
        </w:rPr>
        <w:t xml:space="preserve">Criterio de verificación: </w:t>
      </w:r>
      <w:r>
        <w:t xml:space="preserve">un request sin token o con rol insuficiente responde 401/403.</w:t>
      </w:r>
    </w:p>
    <w:p>
      <w:pPr>
        <w:spacing w:after="80" w:before="180"/>
      </w:pPr>
      <w:r>
        <w:rPr>
          <w:b/>
          <w:bCs/>
        </w:rPr>
        <w:t xml:space="preserve">RNF-02 — Protección de datos personales</w:t>
      </w:r>
    </w:p>
    <w:p>
      <w:pPr>
        <w:spacing w:after="120"/>
      </w:pPr>
      <w:r>
        <w:t xml:space="preserve">Tratamiento de datos personales conforme a la Ley 25.326. Los datos sensibles (DNI, CUIL, datos de salud implícitos en la receta) se acceden solo por roles autorizados y no se exponen en logs ni mensajes de error.</w:t>
      </w:r>
    </w:p>
    <w:p>
      <w:pPr>
        <w:spacing w:after="80" w:before="180"/>
      </w:pPr>
      <w:r>
        <w:rPr>
          <w:b/>
          <w:bCs/>
        </w:rPr>
        <w:t xml:space="preserve">RNF-03 — Gestión de credenciales y secretos</w:t>
      </w:r>
    </w:p>
    <w:p>
      <w:pPr>
        <w:spacing w:after="120"/>
      </w:pPr>
      <w:r>
        <w:t xml:space="preserve">Contraseñas con hash BCrypt. Credenciales y secretos (JWT, R2, API key de 17TRACK) se cargan desde configuración externa (.env), nunca versionados en el repositorio.</w:t>
      </w:r>
    </w:p>
    <w:p>
      <w:pPr>
        <w:spacing w:after="80" w:before="180"/>
      </w:pPr>
      <w:r>
        <w:rPr>
          <w:b/>
          <w:bCs/>
        </w:rPr>
        <w:t xml:space="preserve">RNF-04 — Compatibilidad del probador virtual con gama baja</w:t>
      </w:r>
    </w:p>
    <w:p>
      <w:pPr>
        <w:spacing w:after="120"/>
      </w:pPr>
      <w:r>
        <w:t xml:space="preserve">Superposición 2D sobre foto estática, sin dependencia de un servidor de procesamiento externo; debe funcionar en dispositivos de gama baja.</w:t>
      </w:r>
    </w:p>
    <w:p>
      <w:pPr>
        <w:spacing w:after="80" w:before="180"/>
      </w:pPr>
      <w:r>
        <w:rPr>
          <w:b/>
          <w:bCs/>
        </w:rPr>
        <w:t xml:space="preserve">RNF-05 — Usabilidad para personal no técnico</w:t>
      </w:r>
    </w:p>
    <w:p>
      <w:pPr>
        <w:spacing w:after="120"/>
      </w:pPr>
      <w:r>
        <w:t xml:space="preserve">La interfaz debe ser operable por personal no técnico de la fundación tras una capacitación mínima (~30 minutos): labels claros en español, estados de carga/error visibles, validación en el borde.</w:t>
      </w:r>
    </w:p>
    <w:p>
      <w:pPr>
        <w:spacing w:after="80" w:before="180"/>
      </w:pPr>
      <w:r>
        <w:rPr>
          <w:b/>
          <w:bCs/>
        </w:rPr>
        <w:t xml:space="preserve">RNF-06 — Despliegue en producción</w:t>
      </w:r>
    </w:p>
    <w:p>
      <w:pPr>
        <w:spacing w:after="120"/>
      </w:pPr>
      <w:r>
        <w:t xml:space="preserve">El sistema se despliega en Render (backend + PostgreSQL), a partir del mismo repositorio (backend/ y frontend/ como Root Directory de cada servicio).</w:t>
      </w:r>
    </w:p>
    <w:p>
      <w:pPr>
        <w:spacing w:after="80" w:before="180"/>
      </w:pPr>
      <w:r>
        <w:rPr>
          <w:b/>
          <w:bCs/>
        </w:rPr>
        <w:t xml:space="preserve">RNF-07 — Almacenamiento de imágenes</w:t>
      </w:r>
    </w:p>
    <w:p>
      <w:pPr>
        <w:spacing w:after="120"/>
      </w:pPr>
      <w:r>
        <w:t xml:space="preserve">Las imágenes y PDFs se almacenan en Cloudflare R2; en PostgreSQL se persiste únicamente la URL, nunca el binario.</w:t>
      </w:r>
    </w:p>
    <w:p>
      <w:pPr>
        <w:spacing w:after="80" w:before="180"/>
      </w:pPr>
      <w:r>
        <w:rPr>
          <w:b/>
          <w:bCs/>
        </w:rPr>
        <w:t xml:space="preserve">RNF-08 — Tiempos de respuesta</w:t>
      </w:r>
    </w:p>
    <w:p>
      <w:pPr>
        <w:spacing w:after="120"/>
      </w:pPr>
      <w:r>
        <w:t xml:space="preserve">Las operaciones frecuentes (listados, alta de solicitante, asignación) se mantienen dentro de márgenes aceptables para uso interactivo (referencia orientativa: percibido como inmediato por un operador, sin definir un SLA numérico estricto dado el volumen esperado de la fundación).</w:t>
      </w:r>
    </w:p>
    <w:p>
      <w:pPr>
        <w:spacing w:after="80" w:before="180"/>
      </w:pPr>
      <w:r>
        <w:rPr>
          <w:b/>
          <w:bCs/>
        </w:rPr>
        <w:t xml:space="preserve">RNF-09 — Auditoría de operaciones sensibles</w:t>
      </w:r>
    </w:p>
    <w:p>
      <w:pPr>
        <w:spacing w:after="120"/>
      </w:pPr>
      <w:r>
        <w:t xml:space="preserve">Las operaciones sensibles (validaciones de identidad, asignaciones, entregas, bajas) quedan registradas para su trazabilidad, con fecha y responsable.</w:t>
      </w:r>
    </w:p>
    <w:p>
      <w:pPr>
        <w:spacing w:after="80" w:before="180"/>
      </w:pPr>
      <w:r>
        <w:rPr>
          <w:b/>
          <w:bCs/>
        </w:rPr>
        <w:t xml:space="preserve">RNF-10 — Arquitectura en capas del backend</w:t>
      </w:r>
    </w:p>
    <w:p>
      <w:pPr>
        <w:spacing w:after="120"/>
      </w:pPr>
      <w:r>
        <w:t xml:space="preserve">El backend sigue una arquitectura en capas con separación estricta de responsabilidades: presentation → orchestrator → business → persistence, más un paquete aislado para clientes de terceros. Documentado en backend/CLAUDE.md y en el Documento de Arquitectura (Vista de Desarrollo).</w:t>
      </w:r>
    </w:p>
    <w:p>
      <w:pPr>
        <w:spacing w:after="80" w:before="180"/>
      </w:pPr>
      <w:r>
        <w:rPr>
          <w:b/>
          <w:bCs/>
        </w:rPr>
        <w:t xml:space="preserve">RNF-11 — Compatibilidad de navegadores</w:t>
      </w:r>
    </w:p>
    <w:p>
      <w:pPr>
        <w:spacing w:after="120"/>
      </w:pPr>
      <w:r>
        <w:t xml:space="preserve">El frontend es compatible con navegadores web modernos (últimas versiones de Chrome, Firefox, Edge, Safari).</w:t>
      </w:r>
    </w:p>
    <w:p>
      <w:pPr>
        <w:pStyle w:val="Heading2"/>
        <w:spacing w:after="150" w:before="300"/>
      </w:pPr>
      <w:r>
        <w:t xml:space="preserve">3.4 Reglas de negocio transversales</w:t>
      </w:r>
    </w:p>
    <w:p>
      <w:pPr>
        <w:pStyle w:val="ListParagraph"/>
        <w:numPr>
          <w:ilvl w:val="0"/>
          <w:numId w:val="1"/>
        </w:numPr>
        <w:spacing w:after="60"/>
      </w:pPr>
      <w:r>
        <w:t xml:space="preserve">Validación de pertenencia primero: todo caso de uso que opera sobre un recurso de un beneficiario (turno, asignación, marco) valida primero que ese recurso pertenece a quien lo solicita, antes de ejecutar cualquier otra lógica. Un fallo de pertenencia responde 403.</w:t>
      </w:r>
    </w:p>
    <w:p>
      <w:pPr>
        <w:pStyle w:val="ListParagraph"/>
        <w:numPr>
          <w:ilvl w:val="0"/>
          <w:numId w:val="1"/>
        </w:numPr>
        <w:spacing w:after="60"/>
      </w:pPr>
      <w:r>
        <w:t xml:space="preserve">DNI inmutable: el DNI del solicitante no se edita una vez creado, por ser la identidad contra la que se validó RENAPER.</w:t>
      </w:r>
    </w:p>
    <w:p>
      <w:pPr>
        <w:pStyle w:val="ListParagraph"/>
        <w:numPr>
          <w:ilvl w:val="0"/>
          <w:numId w:val="1"/>
        </w:numPr>
        <w:spacing w:after="60"/>
      </w:pPr>
      <w:r>
        <w:t xml:space="preserve">CUIL derivado, no cargado: el CUIL del solicitante no lo ingresa el operador; queda registrado automáticamente cuando una Certificación Negativa de ANSES válida lo confirma (RF-04).</w:t>
      </w:r>
    </w:p>
    <w:p>
      <w:pPr>
        <w:pStyle w:val="ListParagraph"/>
        <w:numPr>
          <w:ilvl w:val="0"/>
          <w:numId w:val="1"/>
        </w:numPr>
        <w:spacing w:after="60"/>
      </w:pPr>
      <w:r>
        <w:t xml:space="preserve">Turno de autogestión condicionado al pago y a su revisión: un turno creado por autogestión nace PENDING_PAYMENT y pasa a PENDING_REVIEW cuando se sube el comprobante del bono contribución; recién pasa a SCHEDULED (disparando la notificación de RF-22) cuando un operador revisa ese comprobante y lo aprueba — el monto y la validez del comprobante no los valida el sistema, los revisa el operador antes de aprobar.</w:t>
      </w:r>
    </w:p>
    <w:p>
      <w:pPr>
        <w:pStyle w:val="ListParagraph"/>
        <w:numPr>
          <w:ilvl w:val="0"/>
          <w:numId w:val="1"/>
        </w:numPr>
        <w:spacing w:after="60"/>
      </w:pPr>
      <w:r>
        <w:t xml:space="preserve">Baja lógica, no borrado físico: marcos descartados y productos discontinuados cambian de estado (DISCARDED / DISCONTINUED), nunca se eliminan de la base de datos, para preservar la trazabilidad histórica.</w:t>
      </w:r>
    </w:p>
    <w:p>
      <w:pPr>
        <w:pStyle w:val="Heading1"/>
        <w:spacing w:after="200" w:before="400"/>
      </w:pPr>
      <w:r>
        <w:t xml:space="preserve">4. Apéndices</w:t>
      </w:r>
    </w:p>
    <w:p>
      <w:pPr>
        <w:pStyle w:val="Heading2"/>
        <w:spacing w:after="150" w:before="300"/>
      </w:pPr>
      <w:r>
        <w:t xml:space="preserve">Apéndice A — Glosario extendido</w:t>
      </w:r>
    </w:p>
    <w:p>
      <w:pPr>
        <w:spacing w:after="120"/>
      </w:pPr>
      <w:r>
        <w:t xml:space="preserve">Ver sección 1.3. Se amplía con vocabulario de estados:</w:t>
      </w:r>
    </w:p>
    <w:p>
      <w:pPr>
        <w:pStyle w:val="ListParagraph"/>
        <w:numPr>
          <w:ilvl w:val="0"/>
          <w:numId w:val="1"/>
        </w:numPr>
        <w:spacing w:after="60"/>
      </w:pPr>
      <w:r>
        <w:t xml:space="preserve">Estados de Frame: AVAILABLE, ASSIGNED, AT_OPTICIAN, READY, DELIVERED, DISCARDED.</w:t>
      </w:r>
    </w:p>
    <w:p>
      <w:pPr>
        <w:pStyle w:val="ListParagraph"/>
        <w:numPr>
          <w:ilvl w:val="0"/>
          <w:numId w:val="1"/>
        </w:numPr>
        <w:spacing w:after="60"/>
      </w:pPr>
      <w:r>
        <w:t xml:space="preserve">Estados de Appointment: PENDING_PAYMENT, PENDING_REVIEW, SCHEDULED, COMPLETED, MISSED, CANCELLED.</w:t>
      </w:r>
    </w:p>
    <w:p>
      <w:pPr>
        <w:pStyle w:val="ListParagraph"/>
        <w:numPr>
          <w:ilvl w:val="0"/>
          <w:numId w:val="1"/>
        </w:numPr>
        <w:spacing w:after="60"/>
      </w:pPr>
      <w:r>
        <w:t xml:space="preserve">Estados de Product: activo / DISCONTINUED.</w:t>
      </w:r>
    </w:p>
    <w:p>
      <w:pPr>
        <w:pStyle w:val="Heading2"/>
        <w:spacing w:after="150" w:before="300"/>
      </w:pPr>
      <w:r>
        <w:t xml:space="preserve">Apéndice B — Matriz de trazabilidad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300"/>
        <w:gridCol w:w="3460"/>
      </w:tblGrid>
      <w:tr>
        <w:trPr>
          <w:tblHeader/>
        </w:trPr>
        <w:tc>
          <w:tcPr>
            <w:tcW w:type="dxa" w:w="2900"/>
            <w:shd w:fill="D9D9D9" w:color="auto" w:val="clear"/>
            <w:tcMar>
              <w:top w:type="dxa" w:w="60"/>
              <w:left w:type="dxa" w:w="100"/>
              <w:bottom w:type="dxa" w:w="60"/>
              <w:right w:type="dxa" w:w="100"/>
            </w:tcMar>
            <w:vAlign w:val="center"/>
          </w:tcPr>
          <w:p>
            <w:r>
              <w:rPr>
                <w:b/>
                <w:bCs/>
                <w:sz w:val="20"/>
                <w:szCs w:val="20"/>
              </w:rPr>
              <w:t xml:space="preserve">Módulo</w:t>
            </w:r>
          </w:p>
        </w:tc>
        <w:tc>
          <w:tcPr>
            <w:tcW w:type="dxa" w:w="1700"/>
            <w:shd w:fill="D9D9D9" w:color="auto" w:val="clear"/>
            <w:tcMar>
              <w:top w:type="dxa" w:w="60"/>
              <w:left w:type="dxa" w:w="100"/>
              <w:bottom w:type="dxa" w:w="60"/>
              <w:right w:type="dxa" w:w="100"/>
            </w:tcMar>
            <w:vAlign w:val="center"/>
          </w:tcPr>
          <w:p>
            <w:r>
              <w:rPr>
                <w:b/>
                <w:bCs/>
                <w:sz w:val="20"/>
                <w:szCs w:val="20"/>
              </w:rPr>
              <w:t xml:space="preserve">RF</w:t>
            </w:r>
          </w:p>
        </w:tc>
        <w:tc>
          <w:tcPr>
            <w:tcW w:type="dxa" w:w="1300"/>
            <w:shd w:fill="D9D9D9" w:color="auto" w:val="clear"/>
            <w:tcMar>
              <w:top w:type="dxa" w:w="60"/>
              <w:left w:type="dxa" w:w="100"/>
              <w:bottom w:type="dxa" w:w="60"/>
              <w:right w:type="dxa" w:w="100"/>
            </w:tcMar>
            <w:vAlign w:val="center"/>
          </w:tcPr>
          <w:p>
            <w:r>
              <w:rPr>
                <w:b/>
                <w:bCs/>
                <w:sz w:val="20"/>
                <w:szCs w:val="20"/>
              </w:rPr>
              <w:t xml:space="preserve">Prioridad</w:t>
            </w:r>
          </w:p>
        </w:tc>
        <w:tc>
          <w:tcPr>
            <w:tcW w:type="dxa" w:w="3460"/>
            <w:shd w:fill="D9D9D9" w:color="auto" w:val="clear"/>
            <w:tcMar>
              <w:top w:type="dxa" w:w="60"/>
              <w:left w:type="dxa" w:w="100"/>
              <w:bottom w:type="dxa" w:w="60"/>
              <w:right w:type="dxa" w:w="100"/>
            </w:tcMar>
            <w:vAlign w:val="center"/>
          </w:tcPr>
          <w:p>
            <w:r>
              <w:rPr>
                <w:b/>
                <w:bCs/>
                <w:sz w:val="20"/>
                <w:szCs w:val="20"/>
              </w:rPr>
              <w:t xml:space="preserve">Estado de implementación</w:t>
            </w:r>
          </w:p>
        </w:tc>
      </w:tr>
      <w:tr>
        <w:tc>
          <w:tcPr>
            <w:tcW w:type="dxa" w:w="2900"/>
            <w:tcMar>
              <w:top w:type="dxa" w:w="60"/>
              <w:left w:type="dxa" w:w="100"/>
              <w:bottom w:type="dxa" w:w="60"/>
              <w:right w:type="dxa" w:w="100"/>
            </w:tcMar>
            <w:vAlign w:val="center"/>
          </w:tcPr>
          <w:p>
            <w:r>
              <w:rPr>
                <w:b w:val="false"/>
                <w:bCs w:val="false"/>
                <w:sz w:val="20"/>
                <w:szCs w:val="20"/>
              </w:rPr>
              <w:t xml:space="preserve">1. Solicitantes y Validación</w:t>
            </w:r>
          </w:p>
        </w:tc>
        <w:tc>
          <w:tcPr>
            <w:tcW w:type="dxa" w:w="1700"/>
            <w:tcMar>
              <w:top w:type="dxa" w:w="60"/>
              <w:left w:type="dxa" w:w="100"/>
              <w:bottom w:type="dxa" w:w="60"/>
              <w:right w:type="dxa" w:w="100"/>
            </w:tcMar>
            <w:vAlign w:val="center"/>
          </w:tcPr>
          <w:p>
            <w:r>
              <w:rPr>
                <w:b w:val="false"/>
                <w:bCs w:val="false"/>
                <w:sz w:val="20"/>
                <w:szCs w:val="20"/>
              </w:rPr>
              <w:t xml:space="preserve">RF-01, RF-07, RF-08</w:t>
            </w:r>
          </w:p>
        </w:tc>
        <w:tc>
          <w:tcPr>
            <w:tcW w:type="dxa" w:w="1300"/>
            <w:tcMar>
              <w:top w:type="dxa" w:w="60"/>
              <w:left w:type="dxa" w:w="100"/>
              <w:bottom w:type="dxa" w:w="60"/>
              <w:right w:type="dxa" w:w="100"/>
            </w:tcMar>
            <w:vAlign w:val="center"/>
          </w:tcPr>
          <w:p>
            <w:r>
              <w:rPr>
                <w:b w:val="false"/>
                <w:bCs w:val="false"/>
                <w:sz w:val="20"/>
                <w:szCs w:val="20"/>
              </w:rPr>
              <w:t xml:space="preserve">Alta</w:t>
            </w:r>
          </w:p>
        </w:tc>
        <w:tc>
          <w:tcPr>
            <w:tcW w:type="dxa" w:w="3460"/>
            <w:tcMar>
              <w:top w:type="dxa" w:w="60"/>
              <w:left w:type="dxa" w:w="100"/>
              <w:bottom w:type="dxa" w:w="60"/>
              <w:right w:type="dxa" w:w="100"/>
            </w:tcMar>
            <w:vAlign w:val="center"/>
          </w:tcPr>
          <w:p>
            <w:r>
              <w:rPr>
                <w:b w:val="false"/>
                <w:bCs w:val="false"/>
                <w:sz w:val="20"/>
                <w:szCs w:val="20"/>
              </w:rPr>
              <w:t xml:space="preserve">Implementado</w:t>
            </w:r>
          </w:p>
        </w:tc>
      </w:tr>
      <w:tr>
        <w:tc>
          <w:tcPr>
            <w:tcW w:type="dxa" w:w="2900"/>
            <w:tcMar>
              <w:top w:type="dxa" w:w="60"/>
              <w:left w:type="dxa" w:w="100"/>
              <w:bottom w:type="dxa" w:w="60"/>
              <w:right w:type="dxa" w:w="100"/>
            </w:tcMar>
            <w:vAlign w:val="center"/>
          </w:tcPr>
          <w:p>
            <w:r>
              <w:rPr>
                <w:b w:val="false"/>
                <w:bCs w:val="false"/>
                <w:sz w:val="20"/>
                <w:szCs w:val="20"/>
              </w:rPr>
              <w:t xml:space="preserve">1. Solicitantes y Validación</w:t>
            </w:r>
          </w:p>
        </w:tc>
        <w:tc>
          <w:tcPr>
            <w:tcW w:type="dxa" w:w="1700"/>
            <w:tcMar>
              <w:top w:type="dxa" w:w="60"/>
              <w:left w:type="dxa" w:w="100"/>
              <w:bottom w:type="dxa" w:w="60"/>
              <w:right w:type="dxa" w:w="100"/>
            </w:tcMar>
            <w:vAlign w:val="center"/>
          </w:tcPr>
          <w:p>
            <w:r>
              <w:rPr>
                <w:b w:val="false"/>
                <w:bCs w:val="false"/>
                <w:sz w:val="20"/>
                <w:szCs w:val="20"/>
              </w:rPr>
              <w:t xml:space="preserve">RF-03, RF-04, RF-05</w:t>
            </w:r>
          </w:p>
        </w:tc>
        <w:tc>
          <w:tcPr>
            <w:tcW w:type="dxa" w:w="1300"/>
            <w:tcMar>
              <w:top w:type="dxa" w:w="60"/>
              <w:left w:type="dxa" w:w="100"/>
              <w:bottom w:type="dxa" w:w="60"/>
              <w:right w:type="dxa" w:w="100"/>
            </w:tcMar>
            <w:vAlign w:val="center"/>
          </w:tcPr>
          <w:p>
            <w:r>
              <w:rPr>
                <w:b w:val="false"/>
                <w:bCs w:val="false"/>
                <w:sz w:val="20"/>
                <w:szCs w:val="20"/>
              </w:rPr>
              <w:t xml:space="preserve">Alta</w:t>
            </w:r>
          </w:p>
        </w:tc>
        <w:tc>
          <w:tcPr>
            <w:tcW w:type="dxa" w:w="3460"/>
            <w:tcMar>
              <w:top w:type="dxa" w:w="60"/>
              <w:left w:type="dxa" w:w="100"/>
              <w:bottom w:type="dxa" w:w="60"/>
              <w:right w:type="dxa" w:w="100"/>
            </w:tcMar>
            <w:vAlign w:val="center"/>
          </w:tcPr>
          <w:p>
            <w:r>
              <w:rPr>
                <w:b w:val="false"/>
                <w:bCs w:val="false"/>
                <w:sz w:val="20"/>
                <w:szCs w:val="20"/>
              </w:rPr>
              <w:t xml:space="preserve">Implementado</w:t>
            </w:r>
          </w:p>
        </w:tc>
      </w:tr>
      <w:tr>
        <w:tc>
          <w:tcPr>
            <w:tcW w:type="dxa" w:w="2900"/>
            <w:tcMar>
              <w:top w:type="dxa" w:w="60"/>
              <w:left w:type="dxa" w:w="100"/>
              <w:bottom w:type="dxa" w:w="60"/>
              <w:right w:type="dxa" w:w="100"/>
            </w:tcMar>
            <w:vAlign w:val="center"/>
          </w:tcPr>
          <w:p>
            <w:r>
              <w:rPr>
                <w:b w:val="false"/>
                <w:bCs w:val="false"/>
                <w:sz w:val="20"/>
                <w:szCs w:val="20"/>
              </w:rPr>
              <w:t xml:space="preserve">1. Solicitantes y Validación</w:t>
            </w:r>
          </w:p>
        </w:tc>
        <w:tc>
          <w:tcPr>
            <w:tcW w:type="dxa" w:w="1700"/>
            <w:tcMar>
              <w:top w:type="dxa" w:w="60"/>
              <w:left w:type="dxa" w:w="100"/>
              <w:bottom w:type="dxa" w:w="60"/>
              <w:right w:type="dxa" w:w="100"/>
            </w:tcMar>
            <w:vAlign w:val="center"/>
          </w:tcPr>
          <w:p>
            <w:r>
              <w:rPr>
                <w:b w:val="false"/>
                <w:bCs w:val="false"/>
                <w:sz w:val="20"/>
                <w:szCs w:val="20"/>
              </w:rPr>
              <w:t xml:space="preserve">RF-02</w:t>
            </w:r>
          </w:p>
        </w:tc>
        <w:tc>
          <w:tcPr>
            <w:tcW w:type="dxa" w:w="1300"/>
            <w:tcMar>
              <w:top w:type="dxa" w:w="60"/>
              <w:left w:type="dxa" w:w="100"/>
              <w:bottom w:type="dxa" w:w="60"/>
              <w:right w:type="dxa" w:w="100"/>
            </w:tcMar>
            <w:vAlign w:val="center"/>
          </w:tcPr>
          <w:p>
            <w:r>
              <w:rPr>
                <w:b w:val="false"/>
                <w:bCs w:val="false"/>
                <w:sz w:val="20"/>
                <w:szCs w:val="20"/>
              </w:rPr>
              <w:t xml:space="preserve">Alta</w:t>
            </w:r>
          </w:p>
        </w:tc>
        <w:tc>
          <w:tcPr>
            <w:tcW w:type="dxa" w:w="3460"/>
            <w:tcMar>
              <w:top w:type="dxa" w:w="60"/>
              <w:left w:type="dxa" w:w="100"/>
              <w:bottom w:type="dxa" w:w="60"/>
              <w:right w:type="dxa" w:w="100"/>
            </w:tcMar>
            <w:vAlign w:val="center"/>
          </w:tcPr>
          <w:p>
            <w:r>
              <w:rPr>
                <w:b w:val="false"/>
                <w:bCs w:val="false"/>
                <w:sz w:val="20"/>
                <w:szCs w:val="20"/>
              </w:rPr>
              <w:t xml:space="preserve">No implementado — decisión de alcance, no gap (depende del convenio TAD, ver 2.5)</w:t>
            </w:r>
          </w:p>
        </w:tc>
      </w:tr>
      <w:tr>
        <w:tc>
          <w:tcPr>
            <w:tcW w:type="dxa" w:w="2900"/>
            <w:tcMar>
              <w:top w:type="dxa" w:w="60"/>
              <w:left w:type="dxa" w:w="100"/>
              <w:bottom w:type="dxa" w:w="60"/>
              <w:right w:type="dxa" w:w="100"/>
            </w:tcMar>
            <w:vAlign w:val="center"/>
          </w:tcPr>
          <w:p>
            <w:r>
              <w:rPr>
                <w:b w:val="false"/>
                <w:bCs w:val="false"/>
                <w:sz w:val="20"/>
                <w:szCs w:val="20"/>
              </w:rPr>
              <w:t xml:space="preserve">1. Solicitantes y Validación</w:t>
            </w:r>
          </w:p>
        </w:tc>
        <w:tc>
          <w:tcPr>
            <w:tcW w:type="dxa" w:w="1700"/>
            <w:tcMar>
              <w:top w:type="dxa" w:w="60"/>
              <w:left w:type="dxa" w:w="100"/>
              <w:bottom w:type="dxa" w:w="60"/>
              <w:right w:type="dxa" w:w="100"/>
            </w:tcMar>
            <w:vAlign w:val="center"/>
          </w:tcPr>
          <w:p>
            <w:r>
              <w:rPr>
                <w:b w:val="false"/>
                <w:bCs w:val="false"/>
                <w:sz w:val="20"/>
                <w:szCs w:val="20"/>
              </w:rPr>
              <w:t xml:space="preserve">RF-06</w:t>
            </w:r>
          </w:p>
        </w:tc>
        <w:tc>
          <w:tcPr>
            <w:tcW w:type="dxa" w:w="1300"/>
            <w:tcMar>
              <w:top w:type="dxa" w:w="60"/>
              <w:left w:type="dxa" w:w="100"/>
              <w:bottom w:type="dxa" w:w="60"/>
              <w:right w:type="dxa" w:w="100"/>
            </w:tcMar>
            <w:vAlign w:val="center"/>
          </w:tcPr>
          <w:p>
            <w:r>
              <w:rPr>
                <w:b w:val="false"/>
                <w:bCs w:val="false"/>
                <w:sz w:val="20"/>
                <w:szCs w:val="20"/>
              </w:rPr>
              <w:t xml:space="preserve">Media</w:t>
            </w:r>
          </w:p>
        </w:tc>
        <w:tc>
          <w:tcPr>
            <w:tcW w:type="dxa" w:w="3460"/>
            <w:tcMar>
              <w:top w:type="dxa" w:w="60"/>
              <w:left w:type="dxa" w:w="100"/>
              <w:bottom w:type="dxa" w:w="60"/>
              <w:right w:type="dxa" w:w="100"/>
            </w:tcMar>
            <w:vAlign w:val="center"/>
          </w:tcPr>
          <w:p>
            <w:r>
              <w:rPr>
                <w:b w:val="false"/>
                <w:bCs w:val="false"/>
                <w:sz w:val="20"/>
                <w:szCs w:val="20"/>
              </w:rPr>
              <w:t xml:space="preserve">No implementado — pendiente real (sin endpoint ni control de interfaz)</w:t>
            </w:r>
          </w:p>
        </w:tc>
      </w:tr>
      <w:tr>
        <w:tc>
          <w:tcPr>
            <w:tcW w:type="dxa" w:w="2900"/>
            <w:tcMar>
              <w:top w:type="dxa" w:w="60"/>
              <w:left w:type="dxa" w:w="100"/>
              <w:bottom w:type="dxa" w:w="60"/>
              <w:right w:type="dxa" w:w="100"/>
            </w:tcMar>
            <w:vAlign w:val="center"/>
          </w:tcPr>
          <w:p>
            <w:r>
              <w:rPr>
                <w:b w:val="false"/>
                <w:bCs w:val="false"/>
                <w:sz w:val="20"/>
                <w:szCs w:val="20"/>
              </w:rPr>
              <w:t xml:space="preserve">2. Donaciones</w:t>
            </w:r>
          </w:p>
        </w:tc>
        <w:tc>
          <w:tcPr>
            <w:tcW w:type="dxa" w:w="1700"/>
            <w:tcMar>
              <w:top w:type="dxa" w:w="60"/>
              <w:left w:type="dxa" w:w="100"/>
              <w:bottom w:type="dxa" w:w="60"/>
              <w:right w:type="dxa" w:w="100"/>
            </w:tcMar>
            <w:vAlign w:val="center"/>
          </w:tcPr>
          <w:p>
            <w:r>
              <w:rPr>
                <w:b w:val="false"/>
                <w:bCs w:val="false"/>
                <w:sz w:val="20"/>
                <w:szCs w:val="20"/>
              </w:rPr>
              <w:t xml:space="preserve">RF-09 a RF-12</w:t>
            </w:r>
          </w:p>
        </w:tc>
        <w:tc>
          <w:tcPr>
            <w:tcW w:type="dxa" w:w="1300"/>
            <w:tcMar>
              <w:top w:type="dxa" w:w="60"/>
              <w:left w:type="dxa" w:w="100"/>
              <w:bottom w:type="dxa" w:w="60"/>
              <w:right w:type="dxa" w:w="100"/>
            </w:tcMar>
            <w:vAlign w:val="center"/>
          </w:tcPr>
          <w:p>
            <w:r>
              <w:rPr>
                <w:b w:val="false"/>
                <w:bCs w:val="false"/>
                <w:sz w:val="20"/>
                <w:szCs w:val="20"/>
              </w:rPr>
              <w:t xml:space="preserve">Alta / Media</w:t>
            </w:r>
          </w:p>
        </w:tc>
        <w:tc>
          <w:tcPr>
            <w:tcW w:type="dxa" w:w="3460"/>
            <w:tcMar>
              <w:top w:type="dxa" w:w="60"/>
              <w:left w:type="dxa" w:w="100"/>
              <w:bottom w:type="dxa" w:w="60"/>
              <w:right w:type="dxa" w:w="100"/>
            </w:tcMar>
            <w:vAlign w:val="center"/>
          </w:tcPr>
          <w:p>
            <w:r>
              <w:rPr>
                <w:b w:val="false"/>
                <w:bCs w:val="false"/>
                <w:sz w:val="20"/>
                <w:szCs w:val="20"/>
              </w:rPr>
              <w:t xml:space="preserve">Implementado</w:t>
            </w:r>
          </w:p>
        </w:tc>
      </w:tr>
      <w:tr>
        <w:tc>
          <w:tcPr>
            <w:tcW w:type="dxa" w:w="2900"/>
            <w:tcMar>
              <w:top w:type="dxa" w:w="60"/>
              <w:left w:type="dxa" w:w="100"/>
              <w:bottom w:type="dxa" w:w="60"/>
              <w:right w:type="dxa" w:w="100"/>
            </w:tcMar>
            <w:vAlign w:val="center"/>
          </w:tcPr>
          <w:p>
            <w:r>
              <w:rPr>
                <w:b w:val="false"/>
                <w:bCs w:val="false"/>
                <w:sz w:val="20"/>
                <w:szCs w:val="20"/>
              </w:rPr>
              <w:t xml:space="preserve">3. Inventario, Asignación y Trazabilidad</w:t>
            </w:r>
          </w:p>
        </w:tc>
        <w:tc>
          <w:tcPr>
            <w:tcW w:type="dxa" w:w="1700"/>
            <w:tcMar>
              <w:top w:type="dxa" w:w="60"/>
              <w:left w:type="dxa" w:w="100"/>
              <w:bottom w:type="dxa" w:w="60"/>
              <w:right w:type="dxa" w:w="100"/>
            </w:tcMar>
            <w:vAlign w:val="center"/>
          </w:tcPr>
          <w:p>
            <w:r>
              <w:rPr>
                <w:b w:val="false"/>
                <w:bCs w:val="false"/>
                <w:sz w:val="20"/>
                <w:szCs w:val="20"/>
              </w:rPr>
              <w:t xml:space="preserve">RF-13 a RF-16</w:t>
            </w:r>
          </w:p>
        </w:tc>
        <w:tc>
          <w:tcPr>
            <w:tcW w:type="dxa" w:w="1300"/>
            <w:tcMar>
              <w:top w:type="dxa" w:w="60"/>
              <w:left w:type="dxa" w:w="100"/>
              <w:bottom w:type="dxa" w:w="60"/>
              <w:right w:type="dxa" w:w="100"/>
            </w:tcMar>
            <w:vAlign w:val="center"/>
          </w:tcPr>
          <w:p>
            <w:r>
              <w:rPr>
                <w:b w:val="false"/>
                <w:bCs w:val="false"/>
                <w:sz w:val="20"/>
                <w:szCs w:val="20"/>
              </w:rPr>
              <w:t xml:space="preserve">Alta</w:t>
            </w:r>
          </w:p>
        </w:tc>
        <w:tc>
          <w:tcPr>
            <w:tcW w:type="dxa" w:w="3460"/>
            <w:tcMar>
              <w:top w:type="dxa" w:w="60"/>
              <w:left w:type="dxa" w:w="100"/>
              <w:bottom w:type="dxa" w:w="60"/>
              <w:right w:type="dxa" w:w="100"/>
            </w:tcMar>
            <w:vAlign w:val="center"/>
          </w:tcPr>
          <w:p>
            <w:r>
              <w:rPr>
                <w:b w:val="false"/>
                <w:bCs w:val="false"/>
                <w:sz w:val="20"/>
                <w:szCs w:val="20"/>
              </w:rPr>
              <w:t xml:space="preserve">Implementado</w:t>
            </w:r>
          </w:p>
        </w:tc>
      </w:tr>
      <w:tr>
        <w:tc>
          <w:tcPr>
            <w:tcW w:type="dxa" w:w="2900"/>
            <w:tcMar>
              <w:top w:type="dxa" w:w="60"/>
              <w:left w:type="dxa" w:w="100"/>
              <w:bottom w:type="dxa" w:w="60"/>
              <w:right w:type="dxa" w:w="100"/>
            </w:tcMar>
            <w:vAlign w:val="center"/>
          </w:tcPr>
          <w:p>
            <w:r>
              <w:rPr>
                <w:b w:val="false"/>
                <w:bCs w:val="false"/>
                <w:sz w:val="20"/>
                <w:szCs w:val="20"/>
              </w:rPr>
              <w:t xml:space="preserve">4. Probador Virtual</w:t>
            </w:r>
          </w:p>
        </w:tc>
        <w:tc>
          <w:tcPr>
            <w:tcW w:type="dxa" w:w="1700"/>
            <w:tcMar>
              <w:top w:type="dxa" w:w="60"/>
              <w:left w:type="dxa" w:w="100"/>
              <w:bottom w:type="dxa" w:w="60"/>
              <w:right w:type="dxa" w:w="100"/>
            </w:tcMar>
            <w:vAlign w:val="center"/>
          </w:tcPr>
          <w:p>
            <w:r>
              <w:rPr>
                <w:b w:val="false"/>
                <w:bCs w:val="false"/>
                <w:sz w:val="20"/>
                <w:szCs w:val="20"/>
              </w:rPr>
              <w:t xml:space="preserve">RF-17 a RF-19</w:t>
            </w:r>
          </w:p>
        </w:tc>
        <w:tc>
          <w:tcPr>
            <w:tcW w:type="dxa" w:w="1300"/>
            <w:tcMar>
              <w:top w:type="dxa" w:w="60"/>
              <w:left w:type="dxa" w:w="100"/>
              <w:bottom w:type="dxa" w:w="60"/>
              <w:right w:type="dxa" w:w="100"/>
            </w:tcMar>
            <w:vAlign w:val="center"/>
          </w:tcPr>
          <w:p>
            <w:r>
              <w:rPr>
                <w:b w:val="false"/>
                <w:bCs w:val="false"/>
                <w:sz w:val="20"/>
                <w:szCs w:val="20"/>
              </w:rPr>
              <w:t xml:space="preserve">Media / Baja</w:t>
            </w:r>
          </w:p>
        </w:tc>
        <w:tc>
          <w:tcPr>
            <w:tcW w:type="dxa" w:w="3460"/>
            <w:tcMar>
              <w:top w:type="dxa" w:w="60"/>
              <w:left w:type="dxa" w:w="100"/>
              <w:bottom w:type="dxa" w:w="60"/>
              <w:right w:type="dxa" w:w="100"/>
            </w:tcMar>
            <w:vAlign w:val="center"/>
          </w:tcPr>
          <w:p>
            <w:r>
              <w:rPr>
                <w:b w:val="false"/>
                <w:bCs w:val="false"/>
                <w:sz w:val="20"/>
                <w:szCs w:val="20"/>
              </w:rPr>
              <w:t xml:space="preserve">Implementado</w:t>
            </w:r>
          </w:p>
        </w:tc>
      </w:tr>
      <w:tr>
        <w:tc>
          <w:tcPr>
            <w:tcW w:type="dxa" w:w="2900"/>
            <w:tcMar>
              <w:top w:type="dxa" w:w="60"/>
              <w:left w:type="dxa" w:w="100"/>
              <w:bottom w:type="dxa" w:w="60"/>
              <w:right w:type="dxa" w:w="100"/>
            </w:tcMar>
            <w:vAlign w:val="center"/>
          </w:tcPr>
          <w:p>
            <w:r>
              <w:rPr>
                <w:b w:val="false"/>
                <w:bCs w:val="false"/>
                <w:sz w:val="20"/>
                <w:szCs w:val="20"/>
              </w:rPr>
              <w:t xml:space="preserve">5. Turnos y Notificaciones</w:t>
            </w:r>
          </w:p>
        </w:tc>
        <w:tc>
          <w:tcPr>
            <w:tcW w:type="dxa" w:w="1700"/>
            <w:tcMar>
              <w:top w:type="dxa" w:w="60"/>
              <w:left w:type="dxa" w:w="100"/>
              <w:bottom w:type="dxa" w:w="60"/>
              <w:right w:type="dxa" w:w="100"/>
            </w:tcMar>
            <w:vAlign w:val="center"/>
          </w:tcPr>
          <w:p>
            <w:r>
              <w:rPr>
                <w:b w:val="false"/>
                <w:bCs w:val="false"/>
                <w:sz w:val="20"/>
                <w:szCs w:val="20"/>
              </w:rPr>
              <w:t xml:space="preserve">RF-20, RF-21</w:t>
            </w:r>
          </w:p>
        </w:tc>
        <w:tc>
          <w:tcPr>
            <w:tcW w:type="dxa" w:w="1300"/>
            <w:tcMar>
              <w:top w:type="dxa" w:w="60"/>
              <w:left w:type="dxa" w:w="100"/>
              <w:bottom w:type="dxa" w:w="60"/>
              <w:right w:type="dxa" w:w="100"/>
            </w:tcMar>
            <w:vAlign w:val="center"/>
          </w:tcPr>
          <w:p>
            <w:r>
              <w:rPr>
                <w:b w:val="false"/>
                <w:bCs w:val="false"/>
                <w:sz w:val="20"/>
                <w:szCs w:val="20"/>
              </w:rPr>
              <w:t xml:space="preserve">Alta</w:t>
            </w:r>
          </w:p>
        </w:tc>
        <w:tc>
          <w:tcPr>
            <w:tcW w:type="dxa" w:w="3460"/>
            <w:tcMar>
              <w:top w:type="dxa" w:w="60"/>
              <w:left w:type="dxa" w:w="100"/>
              <w:bottom w:type="dxa" w:w="60"/>
              <w:right w:type="dxa" w:w="100"/>
            </w:tcMar>
            <w:vAlign w:val="center"/>
          </w:tcPr>
          <w:p>
            <w:r>
              <w:rPr>
                <w:b w:val="false"/>
                <w:bCs w:val="false"/>
                <w:sz w:val="20"/>
                <w:szCs w:val="20"/>
              </w:rPr>
              <w:t xml:space="preserve">Implementado</w:t>
            </w:r>
          </w:p>
        </w:tc>
      </w:tr>
      <w:tr>
        <w:tc>
          <w:tcPr>
            <w:tcW w:type="dxa" w:w="2900"/>
            <w:tcMar>
              <w:top w:type="dxa" w:w="60"/>
              <w:left w:type="dxa" w:w="100"/>
              <w:bottom w:type="dxa" w:w="60"/>
              <w:right w:type="dxa" w:w="100"/>
            </w:tcMar>
            <w:vAlign w:val="center"/>
          </w:tcPr>
          <w:p>
            <w:r>
              <w:rPr>
                <w:b w:val="false"/>
                <w:bCs w:val="false"/>
                <w:sz w:val="20"/>
                <w:szCs w:val="20"/>
              </w:rPr>
              <w:t xml:space="preserve">5. Turnos y Notificaciones</w:t>
            </w:r>
          </w:p>
        </w:tc>
        <w:tc>
          <w:tcPr>
            <w:tcW w:type="dxa" w:w="1700"/>
            <w:tcMar>
              <w:top w:type="dxa" w:w="60"/>
              <w:left w:type="dxa" w:w="100"/>
              <w:bottom w:type="dxa" w:w="60"/>
              <w:right w:type="dxa" w:w="100"/>
            </w:tcMar>
            <w:vAlign w:val="center"/>
          </w:tcPr>
          <w:p>
            <w:r>
              <w:rPr>
                <w:b w:val="false"/>
                <w:bCs w:val="false"/>
                <w:sz w:val="20"/>
                <w:szCs w:val="20"/>
              </w:rPr>
              <w:t xml:space="preserve">RF-22</w:t>
            </w:r>
          </w:p>
        </w:tc>
        <w:tc>
          <w:tcPr>
            <w:tcW w:type="dxa" w:w="1300"/>
            <w:tcMar>
              <w:top w:type="dxa" w:w="60"/>
              <w:left w:type="dxa" w:w="100"/>
              <w:bottom w:type="dxa" w:w="60"/>
              <w:right w:type="dxa" w:w="100"/>
            </w:tcMar>
            <w:vAlign w:val="center"/>
          </w:tcPr>
          <w:p>
            <w:r>
              <w:rPr>
                <w:b w:val="false"/>
                <w:bCs w:val="false"/>
                <w:sz w:val="20"/>
                <w:szCs w:val="20"/>
              </w:rPr>
              <w:t xml:space="preserve">Media</w:t>
            </w:r>
          </w:p>
        </w:tc>
        <w:tc>
          <w:tcPr>
            <w:tcW w:type="dxa" w:w="3460"/>
            <w:tcMar>
              <w:top w:type="dxa" w:w="60"/>
              <w:left w:type="dxa" w:w="100"/>
              <w:bottom w:type="dxa" w:w="60"/>
              <w:right w:type="dxa" w:w="100"/>
            </w:tcMar>
            <w:vAlign w:val="center"/>
          </w:tcPr>
          <w:p>
            <w:r>
              <w:rPr>
                <w:b w:val="false"/>
                <w:bCs w:val="false"/>
                <w:sz w:val="20"/>
                <w:szCs w:val="20"/>
              </w:rPr>
              <w:t xml:space="preserve">Implementado (canal: email vía SMTP)</w:t>
            </w:r>
          </w:p>
        </w:tc>
      </w:tr>
      <w:tr>
        <w:tc>
          <w:tcPr>
            <w:tcW w:type="dxa" w:w="2900"/>
            <w:tcMar>
              <w:top w:type="dxa" w:w="60"/>
              <w:left w:type="dxa" w:w="100"/>
              <w:bottom w:type="dxa" w:w="60"/>
              <w:right w:type="dxa" w:w="100"/>
            </w:tcMar>
            <w:vAlign w:val="center"/>
          </w:tcPr>
          <w:p>
            <w:r>
              <w:rPr>
                <w:b w:val="false"/>
                <w:bCs w:val="false"/>
                <w:sz w:val="20"/>
                <w:szCs w:val="20"/>
              </w:rPr>
              <w:t xml:space="preserve">6. Logística e Integración 17TRACK</w:t>
            </w:r>
          </w:p>
        </w:tc>
        <w:tc>
          <w:tcPr>
            <w:tcW w:type="dxa" w:w="1700"/>
            <w:tcMar>
              <w:top w:type="dxa" w:w="60"/>
              <w:left w:type="dxa" w:w="100"/>
              <w:bottom w:type="dxa" w:w="60"/>
              <w:right w:type="dxa" w:w="100"/>
            </w:tcMar>
            <w:vAlign w:val="center"/>
          </w:tcPr>
          <w:p>
            <w:r>
              <w:rPr>
                <w:b w:val="false"/>
                <w:bCs w:val="false"/>
                <w:sz w:val="20"/>
                <w:szCs w:val="20"/>
              </w:rPr>
              <w:t xml:space="preserve">RF-23 a RF-25</w:t>
            </w:r>
          </w:p>
        </w:tc>
        <w:tc>
          <w:tcPr>
            <w:tcW w:type="dxa" w:w="1300"/>
            <w:tcMar>
              <w:top w:type="dxa" w:w="60"/>
              <w:left w:type="dxa" w:w="100"/>
              <w:bottom w:type="dxa" w:w="60"/>
              <w:right w:type="dxa" w:w="100"/>
            </w:tcMar>
            <w:vAlign w:val="center"/>
          </w:tcPr>
          <w:p>
            <w:r>
              <w:rPr>
                <w:b w:val="false"/>
                <w:bCs w:val="false"/>
                <w:sz w:val="20"/>
                <w:szCs w:val="20"/>
              </w:rPr>
              <w:t xml:space="preserve">Media</w:t>
            </w:r>
          </w:p>
        </w:tc>
        <w:tc>
          <w:tcPr>
            <w:tcW w:type="dxa" w:w="3460"/>
            <w:tcMar>
              <w:top w:type="dxa" w:w="60"/>
              <w:left w:type="dxa" w:w="100"/>
              <w:bottom w:type="dxa" w:w="60"/>
              <w:right w:type="dxa" w:w="100"/>
            </w:tcMar>
            <w:vAlign w:val="center"/>
          </w:tcPr>
          <w:p>
            <w:r>
              <w:rPr>
                <w:b w:val="false"/>
                <w:bCs w:val="false"/>
                <w:sz w:val="20"/>
                <w:szCs w:val="20"/>
              </w:rPr>
              <w:t xml:space="preserve">Implementado</w:t>
            </w:r>
          </w:p>
        </w:tc>
      </w:tr>
      <w:tr>
        <w:tc>
          <w:tcPr>
            <w:tcW w:type="dxa" w:w="2900"/>
            <w:tcMar>
              <w:top w:type="dxa" w:w="60"/>
              <w:left w:type="dxa" w:w="100"/>
              <w:bottom w:type="dxa" w:w="60"/>
              <w:right w:type="dxa" w:w="100"/>
            </w:tcMar>
            <w:vAlign w:val="center"/>
          </w:tcPr>
          <w:p>
            <w:r>
              <w:rPr>
                <w:b w:val="false"/>
                <w:bCs w:val="false"/>
                <w:sz w:val="20"/>
                <w:szCs w:val="20"/>
              </w:rPr>
              <w:t xml:space="preserve">7. Panel de Impacto</w:t>
            </w:r>
          </w:p>
        </w:tc>
        <w:tc>
          <w:tcPr>
            <w:tcW w:type="dxa" w:w="1700"/>
            <w:tcMar>
              <w:top w:type="dxa" w:w="60"/>
              <w:left w:type="dxa" w:w="100"/>
              <w:bottom w:type="dxa" w:w="60"/>
              <w:right w:type="dxa" w:w="100"/>
            </w:tcMar>
            <w:vAlign w:val="center"/>
          </w:tcPr>
          <w:p>
            <w:r>
              <w:rPr>
                <w:b w:val="false"/>
                <w:bCs w:val="false"/>
                <w:sz w:val="20"/>
                <w:szCs w:val="20"/>
              </w:rPr>
              <w:t xml:space="preserve">RF-26, RF-27</w:t>
            </w:r>
          </w:p>
        </w:tc>
        <w:tc>
          <w:tcPr>
            <w:tcW w:type="dxa" w:w="1300"/>
            <w:tcMar>
              <w:top w:type="dxa" w:w="60"/>
              <w:left w:type="dxa" w:w="100"/>
              <w:bottom w:type="dxa" w:w="60"/>
              <w:right w:type="dxa" w:w="100"/>
            </w:tcMar>
            <w:vAlign w:val="center"/>
          </w:tcPr>
          <w:p>
            <w:r>
              <w:rPr>
                <w:b w:val="false"/>
                <w:bCs w:val="false"/>
                <w:sz w:val="20"/>
                <w:szCs w:val="20"/>
              </w:rPr>
              <w:t xml:space="preserve">Media / Baja</w:t>
            </w:r>
          </w:p>
        </w:tc>
        <w:tc>
          <w:tcPr>
            <w:tcW w:type="dxa" w:w="3460"/>
            <w:tcMar>
              <w:top w:type="dxa" w:w="60"/>
              <w:left w:type="dxa" w:w="100"/>
              <w:bottom w:type="dxa" w:w="60"/>
              <w:right w:type="dxa" w:w="100"/>
            </w:tcMar>
            <w:vAlign w:val="center"/>
          </w:tcPr>
          <w:p>
            <w:r>
              <w:rPr>
                <w:b w:val="false"/>
                <w:bCs w:val="false"/>
                <w:sz w:val="20"/>
                <w:szCs w:val="20"/>
              </w:rPr>
              <w:t xml:space="preserve">Implementado</w:t>
            </w:r>
          </w:p>
        </w:tc>
      </w:tr>
      <w:tr>
        <w:tc>
          <w:tcPr>
            <w:tcW w:type="dxa" w:w="2900"/>
            <w:tcMar>
              <w:top w:type="dxa" w:w="60"/>
              <w:left w:type="dxa" w:w="100"/>
              <w:bottom w:type="dxa" w:w="60"/>
              <w:right w:type="dxa" w:w="100"/>
            </w:tcMar>
            <w:vAlign w:val="center"/>
          </w:tcPr>
          <w:p>
            <w:r>
              <w:rPr>
                <w:b w:val="false"/>
                <w:bCs w:val="false"/>
                <w:sz w:val="20"/>
                <w:szCs w:val="20"/>
              </w:rPr>
              <w:t xml:space="preserve">8. Catálogo de Venta</w:t>
            </w:r>
          </w:p>
        </w:tc>
        <w:tc>
          <w:tcPr>
            <w:tcW w:type="dxa" w:w="1700"/>
            <w:tcMar>
              <w:top w:type="dxa" w:w="60"/>
              <w:left w:type="dxa" w:w="100"/>
              <w:bottom w:type="dxa" w:w="60"/>
              <w:right w:type="dxa" w:w="100"/>
            </w:tcMar>
            <w:vAlign w:val="center"/>
          </w:tcPr>
          <w:p>
            <w:r>
              <w:rPr>
                <w:b w:val="false"/>
                <w:bCs w:val="false"/>
                <w:sz w:val="20"/>
                <w:szCs w:val="20"/>
              </w:rPr>
              <w:t xml:space="preserve">RF-28 a RF-30</w:t>
            </w:r>
          </w:p>
        </w:tc>
        <w:tc>
          <w:tcPr>
            <w:tcW w:type="dxa" w:w="1300"/>
            <w:tcMar>
              <w:top w:type="dxa" w:w="60"/>
              <w:left w:type="dxa" w:w="100"/>
              <w:bottom w:type="dxa" w:w="60"/>
              <w:right w:type="dxa" w:w="100"/>
            </w:tcMar>
            <w:vAlign w:val="center"/>
          </w:tcPr>
          <w:p>
            <w:r>
              <w:rPr>
                <w:b w:val="false"/>
                <w:bCs w:val="false"/>
                <w:sz w:val="20"/>
                <w:szCs w:val="20"/>
              </w:rPr>
              <w:t xml:space="preserve">Media</w:t>
            </w:r>
          </w:p>
        </w:tc>
        <w:tc>
          <w:tcPr>
            <w:tcW w:type="dxa" w:w="3460"/>
            <w:tcMar>
              <w:top w:type="dxa" w:w="60"/>
              <w:left w:type="dxa" w:w="100"/>
              <w:bottom w:type="dxa" w:w="60"/>
              <w:right w:type="dxa" w:w="100"/>
            </w:tcMar>
            <w:vAlign w:val="center"/>
          </w:tcPr>
          <w:p>
            <w:r>
              <w:rPr>
                <w:b w:val="false"/>
                <w:bCs w:val="false"/>
                <w:sz w:val="20"/>
                <w:szCs w:val="20"/>
              </w:rPr>
              <w:t xml:space="preserve">Implementado</w:t>
            </w:r>
          </w:p>
        </w:tc>
      </w:tr>
    </w:tbl>
    <w:p>
      <w:pPr>
        <w:spacing w:after="120"/>
      </w:pPr>
      <w:r>
        <w:rPr>
          <w:i/>
          <w:iCs/>
        </w:rPr>
        <w:t xml:space="preserve">Nota: este documento especifica el alcance completo comprometido (RF-01 a RF-30). El detalle de estado de implementación es informativo para el seguimiento del proyecto y no forma parte de la especificación en sí.</w:t>
      </w:r>
    </w:p>
    <w:p>
      <w:pPr>
        <w:pStyle w:val="Heading2"/>
        <w:spacing w:after="150" w:before="300"/>
      </w:pPr>
      <w:r>
        <w:t xml:space="preserve">Apéndice C — Matriz de roles y permisos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900"/>
        <w:gridCol w:w="3360"/>
      </w:tblGrid>
      <w:tr>
        <w:trPr>
          <w:tblHeader/>
        </w:trPr>
        <w:tc>
          <w:tcPr>
            <w:tcW w:type="dxa" w:w="2800"/>
            <w:shd w:fill="D9D9D9" w:color="auto" w:val="clear"/>
            <w:tcMar>
              <w:top w:type="dxa" w:w="60"/>
              <w:left w:type="dxa" w:w="100"/>
              <w:bottom w:type="dxa" w:w="60"/>
              <w:right w:type="dxa" w:w="100"/>
            </w:tcMar>
            <w:vAlign w:val="center"/>
          </w:tcPr>
          <w:p>
            <w:r>
              <w:rPr>
                <w:b/>
                <w:bCs/>
                <w:sz w:val="20"/>
                <w:szCs w:val="20"/>
              </w:rPr>
              <w:t xml:space="preserve">Recurso</w:t>
            </w:r>
          </w:p>
        </w:tc>
        <w:tc>
          <w:tcPr>
            <w:tcW w:type="dxa" w:w="1300"/>
            <w:shd w:fill="D9D9D9" w:color="auto" w:val="clear"/>
            <w:tcMar>
              <w:top w:type="dxa" w:w="60"/>
              <w:left w:type="dxa" w:w="100"/>
              <w:bottom w:type="dxa" w:w="60"/>
              <w:right w:type="dxa" w:w="100"/>
            </w:tcMar>
            <w:vAlign w:val="center"/>
          </w:tcPr>
          <w:p>
            <w:r>
              <w:rPr>
                <w:b/>
                <w:bCs/>
                <w:sz w:val="20"/>
                <w:szCs w:val="20"/>
              </w:rPr>
              <w:t xml:space="preserve">ADMIN</w:t>
            </w:r>
          </w:p>
        </w:tc>
        <w:tc>
          <w:tcPr>
            <w:tcW w:type="dxa" w:w="1900"/>
            <w:shd w:fill="D9D9D9" w:color="auto" w:val="clear"/>
            <w:tcMar>
              <w:top w:type="dxa" w:w="60"/>
              <w:left w:type="dxa" w:w="100"/>
              <w:bottom w:type="dxa" w:w="60"/>
              <w:right w:type="dxa" w:w="100"/>
            </w:tcMar>
            <w:vAlign w:val="center"/>
          </w:tcPr>
          <w:p>
            <w:r>
              <w:rPr>
                <w:b/>
                <w:bCs/>
                <w:sz w:val="20"/>
                <w:szCs w:val="20"/>
              </w:rPr>
              <w:t xml:space="preserve">OPERATOR</w:t>
            </w:r>
          </w:p>
        </w:tc>
        <w:tc>
          <w:tcPr>
            <w:tcW w:type="dxa" w:w="3360"/>
            <w:shd w:fill="D9D9D9" w:color="auto" w:val="clear"/>
            <w:tcMar>
              <w:top w:type="dxa" w:w="60"/>
              <w:left w:type="dxa" w:w="100"/>
              <w:bottom w:type="dxa" w:w="60"/>
              <w:right w:type="dxa" w:w="100"/>
            </w:tcMar>
            <w:vAlign w:val="center"/>
          </w:tcPr>
          <w:p>
            <w:r>
              <w:rPr>
                <w:b/>
                <w:bCs/>
                <w:sz w:val="20"/>
                <w:szCs w:val="20"/>
              </w:rPr>
              <w:t xml:space="preserve">APPLICANT</w:t>
            </w:r>
          </w:p>
        </w:tc>
      </w:tr>
      <w:tr>
        <w:tc>
          <w:tcPr>
            <w:tcW w:type="dxa" w:w="2800"/>
            <w:tcMar>
              <w:top w:type="dxa" w:w="60"/>
              <w:left w:type="dxa" w:w="100"/>
              <w:bottom w:type="dxa" w:w="60"/>
              <w:right w:type="dxa" w:w="100"/>
            </w:tcMar>
            <w:vAlign w:val="center"/>
          </w:tcPr>
          <w:p>
            <w:r>
              <w:rPr>
                <w:b w:val="false"/>
                <w:bCs w:val="false"/>
                <w:sz w:val="20"/>
                <w:szCs w:val="20"/>
              </w:rPr>
              <w:t xml:space="preserve">Solicitantes (alta/edición/listado)</w:t>
            </w:r>
          </w:p>
        </w:tc>
        <w:tc>
          <w:tcPr>
            <w:tcW w:type="dxa" w:w="1300"/>
            <w:tcMar>
              <w:top w:type="dxa" w:w="60"/>
              <w:left w:type="dxa" w:w="100"/>
              <w:bottom w:type="dxa" w:w="60"/>
              <w:right w:type="dxa" w:w="100"/>
            </w:tcMar>
            <w:vAlign w:val="center"/>
          </w:tcPr>
          <w:p>
            <w:r>
              <w:rPr>
                <w:b w:val="false"/>
                <w:bCs w:val="false"/>
                <w:sz w:val="20"/>
                <w:szCs w:val="20"/>
              </w:rPr>
              <w:t xml:space="preserve">Sí</w:t>
            </w:r>
          </w:p>
        </w:tc>
        <w:tc>
          <w:tcPr>
            <w:tcW w:type="dxa" w:w="1900"/>
            <w:tcMar>
              <w:top w:type="dxa" w:w="60"/>
              <w:left w:type="dxa" w:w="100"/>
              <w:bottom w:type="dxa" w:w="60"/>
              <w:right w:type="dxa" w:w="100"/>
            </w:tcMar>
            <w:vAlign w:val="center"/>
          </w:tcPr>
          <w:p>
            <w:r>
              <w:rPr>
                <w:b w:val="false"/>
                <w:bCs w:val="false"/>
                <w:sz w:val="20"/>
                <w:szCs w:val="20"/>
              </w:rPr>
              <w:t xml:space="preserve">Sí</w:t>
            </w:r>
          </w:p>
        </w:tc>
        <w:tc>
          <w:tcPr>
            <w:tcW w:type="dxa" w:w="3360"/>
            <w:tcMar>
              <w:top w:type="dxa" w:w="60"/>
              <w:left w:type="dxa" w:w="100"/>
              <w:bottom w:type="dxa" w:w="60"/>
              <w:right w:type="dxa" w:w="100"/>
            </w:tcMar>
            <w:vAlign w:val="center"/>
          </w:tcPr>
          <w:p>
            <w:r>
              <w:rPr>
                <w:b w:val="false"/>
                <w:bCs w:val="false"/>
                <w:sz w:val="20"/>
                <w:szCs w:val="20"/>
              </w:rPr>
              <w:t xml:space="preserve">—</w:t>
            </w:r>
          </w:p>
        </w:tc>
      </w:tr>
      <w:tr>
        <w:tc>
          <w:tcPr>
            <w:tcW w:type="dxa" w:w="2800"/>
            <w:tcMar>
              <w:top w:type="dxa" w:w="60"/>
              <w:left w:type="dxa" w:w="100"/>
              <w:bottom w:type="dxa" w:w="60"/>
              <w:right w:type="dxa" w:w="100"/>
            </w:tcMar>
            <w:vAlign w:val="center"/>
          </w:tcPr>
          <w:p>
            <w:r>
              <w:rPr>
                <w:b w:val="false"/>
                <w:bCs w:val="false"/>
                <w:sz w:val="20"/>
                <w:szCs w:val="20"/>
              </w:rPr>
              <w:t xml:space="preserve">Validación de identidad y ANSES</w:t>
            </w:r>
          </w:p>
        </w:tc>
        <w:tc>
          <w:tcPr>
            <w:tcW w:type="dxa" w:w="1300"/>
            <w:tcMar>
              <w:top w:type="dxa" w:w="60"/>
              <w:left w:type="dxa" w:w="100"/>
              <w:bottom w:type="dxa" w:w="60"/>
              <w:right w:type="dxa" w:w="100"/>
            </w:tcMar>
            <w:vAlign w:val="center"/>
          </w:tcPr>
          <w:p>
            <w:r>
              <w:rPr>
                <w:b w:val="false"/>
                <w:bCs w:val="false"/>
                <w:sz w:val="20"/>
                <w:szCs w:val="20"/>
              </w:rPr>
              <w:t xml:space="preserve">Sí</w:t>
            </w:r>
          </w:p>
        </w:tc>
        <w:tc>
          <w:tcPr>
            <w:tcW w:type="dxa" w:w="1900"/>
            <w:tcMar>
              <w:top w:type="dxa" w:w="60"/>
              <w:left w:type="dxa" w:w="100"/>
              <w:bottom w:type="dxa" w:w="60"/>
              <w:right w:type="dxa" w:w="100"/>
            </w:tcMar>
            <w:vAlign w:val="center"/>
          </w:tcPr>
          <w:p>
            <w:r>
              <w:rPr>
                <w:b w:val="false"/>
                <w:bCs w:val="false"/>
                <w:sz w:val="20"/>
                <w:szCs w:val="20"/>
              </w:rPr>
              <w:t xml:space="preserve">Sí</w:t>
            </w:r>
          </w:p>
        </w:tc>
        <w:tc>
          <w:tcPr>
            <w:tcW w:type="dxa" w:w="3360"/>
            <w:tcMar>
              <w:top w:type="dxa" w:w="60"/>
              <w:left w:type="dxa" w:w="100"/>
              <w:bottom w:type="dxa" w:w="60"/>
              <w:right w:type="dxa" w:w="100"/>
            </w:tcMar>
            <w:vAlign w:val="center"/>
          </w:tcPr>
          <w:p>
            <w:r>
              <w:rPr>
                <w:b w:val="false"/>
                <w:bCs w:val="false"/>
                <w:sz w:val="20"/>
                <w:szCs w:val="20"/>
              </w:rPr>
              <w:t xml:space="preserve">—</w:t>
            </w:r>
          </w:p>
        </w:tc>
      </w:tr>
      <w:tr>
        <w:tc>
          <w:tcPr>
            <w:tcW w:type="dxa" w:w="2800"/>
            <w:tcMar>
              <w:top w:type="dxa" w:w="60"/>
              <w:left w:type="dxa" w:w="100"/>
              <w:bottom w:type="dxa" w:w="60"/>
              <w:right w:type="dxa" w:w="100"/>
            </w:tcMar>
            <w:vAlign w:val="center"/>
          </w:tcPr>
          <w:p>
            <w:r>
              <w:rPr>
                <w:b w:val="false"/>
                <w:bCs w:val="false"/>
                <w:sz w:val="20"/>
                <w:szCs w:val="20"/>
              </w:rPr>
              <w:t xml:space="preserve">Donantes y marcos donados</w:t>
            </w:r>
          </w:p>
        </w:tc>
        <w:tc>
          <w:tcPr>
            <w:tcW w:type="dxa" w:w="1300"/>
            <w:tcMar>
              <w:top w:type="dxa" w:w="60"/>
              <w:left w:type="dxa" w:w="100"/>
              <w:bottom w:type="dxa" w:w="60"/>
              <w:right w:type="dxa" w:w="100"/>
            </w:tcMar>
            <w:vAlign w:val="center"/>
          </w:tcPr>
          <w:p>
            <w:r>
              <w:rPr>
                <w:b w:val="false"/>
                <w:bCs w:val="false"/>
                <w:sz w:val="20"/>
                <w:szCs w:val="20"/>
              </w:rPr>
              <w:t xml:space="preserve">Sí</w:t>
            </w:r>
          </w:p>
        </w:tc>
        <w:tc>
          <w:tcPr>
            <w:tcW w:type="dxa" w:w="1900"/>
            <w:tcMar>
              <w:top w:type="dxa" w:w="60"/>
              <w:left w:type="dxa" w:w="100"/>
              <w:bottom w:type="dxa" w:w="60"/>
              <w:right w:type="dxa" w:w="100"/>
            </w:tcMar>
            <w:vAlign w:val="center"/>
          </w:tcPr>
          <w:p>
            <w:r>
              <w:rPr>
                <w:b w:val="false"/>
                <w:bCs w:val="false"/>
                <w:sz w:val="20"/>
                <w:szCs w:val="20"/>
              </w:rPr>
              <w:t xml:space="preserve">Sí</w:t>
            </w:r>
          </w:p>
        </w:tc>
        <w:tc>
          <w:tcPr>
            <w:tcW w:type="dxa" w:w="3360"/>
            <w:tcMar>
              <w:top w:type="dxa" w:w="60"/>
              <w:left w:type="dxa" w:w="100"/>
              <w:bottom w:type="dxa" w:w="60"/>
              <w:right w:type="dxa" w:w="100"/>
            </w:tcMar>
            <w:vAlign w:val="center"/>
          </w:tcPr>
          <w:p>
            <w:r>
              <w:rPr>
                <w:b w:val="false"/>
                <w:bCs w:val="false"/>
                <w:sz w:val="20"/>
                <w:szCs w:val="20"/>
              </w:rPr>
              <w:t xml:space="preserve">—</w:t>
            </w:r>
          </w:p>
        </w:tc>
      </w:tr>
      <w:tr>
        <w:tc>
          <w:tcPr>
            <w:tcW w:type="dxa" w:w="2800"/>
            <w:tcMar>
              <w:top w:type="dxa" w:w="60"/>
              <w:left w:type="dxa" w:w="100"/>
              <w:bottom w:type="dxa" w:w="60"/>
              <w:right w:type="dxa" w:w="100"/>
            </w:tcMar>
            <w:vAlign w:val="center"/>
          </w:tcPr>
          <w:p>
            <w:r>
              <w:rPr>
                <w:b w:val="false"/>
                <w:bCs w:val="false"/>
                <w:sz w:val="20"/>
                <w:szCs w:val="20"/>
              </w:rPr>
              <w:t xml:space="preserve">Inventario y asignación</w:t>
            </w:r>
          </w:p>
        </w:tc>
        <w:tc>
          <w:tcPr>
            <w:tcW w:type="dxa" w:w="1300"/>
            <w:tcMar>
              <w:top w:type="dxa" w:w="60"/>
              <w:left w:type="dxa" w:w="100"/>
              <w:bottom w:type="dxa" w:w="60"/>
              <w:right w:type="dxa" w:w="100"/>
            </w:tcMar>
            <w:vAlign w:val="center"/>
          </w:tcPr>
          <w:p>
            <w:r>
              <w:rPr>
                <w:b w:val="false"/>
                <w:bCs w:val="false"/>
                <w:sz w:val="20"/>
                <w:szCs w:val="20"/>
              </w:rPr>
              <w:t xml:space="preserve">Sí</w:t>
            </w:r>
          </w:p>
        </w:tc>
        <w:tc>
          <w:tcPr>
            <w:tcW w:type="dxa" w:w="1900"/>
            <w:tcMar>
              <w:top w:type="dxa" w:w="60"/>
              <w:left w:type="dxa" w:w="100"/>
              <w:bottom w:type="dxa" w:w="60"/>
              <w:right w:type="dxa" w:w="100"/>
            </w:tcMar>
            <w:vAlign w:val="center"/>
          </w:tcPr>
          <w:p>
            <w:r>
              <w:rPr>
                <w:b w:val="false"/>
                <w:bCs w:val="false"/>
                <w:sz w:val="20"/>
                <w:szCs w:val="20"/>
              </w:rPr>
              <w:t xml:space="preserve">Sí</w:t>
            </w:r>
          </w:p>
        </w:tc>
        <w:tc>
          <w:tcPr>
            <w:tcW w:type="dxa" w:w="3360"/>
            <w:tcMar>
              <w:top w:type="dxa" w:w="60"/>
              <w:left w:type="dxa" w:w="100"/>
              <w:bottom w:type="dxa" w:w="60"/>
              <w:right w:type="dxa" w:w="100"/>
            </w:tcMar>
            <w:vAlign w:val="center"/>
          </w:tcPr>
          <w:p>
            <w:r>
              <w:rPr>
                <w:b w:val="false"/>
                <w:bCs w:val="false"/>
                <w:sz w:val="20"/>
                <w:szCs w:val="20"/>
              </w:rPr>
              <w:t xml:space="preserve">Solo lectura de su propia asignación (/v1/me/assignments)</w:t>
            </w:r>
          </w:p>
        </w:tc>
      </w:tr>
      <w:tr>
        <w:tc>
          <w:tcPr>
            <w:tcW w:type="dxa" w:w="2800"/>
            <w:tcMar>
              <w:top w:type="dxa" w:w="60"/>
              <w:left w:type="dxa" w:w="100"/>
              <w:bottom w:type="dxa" w:w="60"/>
              <w:right w:type="dxa" w:w="100"/>
            </w:tcMar>
            <w:vAlign w:val="center"/>
          </w:tcPr>
          <w:p>
            <w:r>
              <w:rPr>
                <w:b w:val="false"/>
                <w:bCs w:val="false"/>
                <w:sz w:val="20"/>
                <w:szCs w:val="20"/>
              </w:rPr>
              <w:t xml:space="preserve">Turnos</w:t>
            </w:r>
          </w:p>
        </w:tc>
        <w:tc>
          <w:tcPr>
            <w:tcW w:type="dxa" w:w="1300"/>
            <w:tcMar>
              <w:top w:type="dxa" w:w="60"/>
              <w:left w:type="dxa" w:w="100"/>
              <w:bottom w:type="dxa" w:w="60"/>
              <w:right w:type="dxa" w:w="100"/>
            </w:tcMar>
            <w:vAlign w:val="center"/>
          </w:tcPr>
          <w:p>
            <w:r>
              <w:rPr>
                <w:b w:val="false"/>
                <w:bCs w:val="false"/>
                <w:sz w:val="20"/>
                <w:szCs w:val="20"/>
              </w:rPr>
              <w:t xml:space="preserve">Sí</w:t>
            </w:r>
          </w:p>
        </w:tc>
        <w:tc>
          <w:tcPr>
            <w:tcW w:type="dxa" w:w="1900"/>
            <w:tcMar>
              <w:top w:type="dxa" w:w="60"/>
              <w:left w:type="dxa" w:w="100"/>
              <w:bottom w:type="dxa" w:w="60"/>
              <w:right w:type="dxa" w:w="100"/>
            </w:tcMar>
            <w:vAlign w:val="center"/>
          </w:tcPr>
          <w:p>
            <w:r>
              <w:rPr>
                <w:b w:val="false"/>
                <w:bCs w:val="false"/>
                <w:sz w:val="20"/>
                <w:szCs w:val="20"/>
              </w:rPr>
              <w:t xml:space="preserve">Sí (gestión de todos)</w:t>
            </w:r>
          </w:p>
        </w:tc>
        <w:tc>
          <w:tcPr>
            <w:tcW w:type="dxa" w:w="3360"/>
            <w:tcMar>
              <w:top w:type="dxa" w:w="60"/>
              <w:left w:type="dxa" w:w="100"/>
              <w:bottom w:type="dxa" w:w="60"/>
              <w:right w:type="dxa" w:w="100"/>
            </w:tcMar>
            <w:vAlign w:val="center"/>
          </w:tcPr>
          <w:p>
            <w:r>
              <w:rPr>
                <w:b w:val="false"/>
                <w:bCs w:val="false"/>
                <w:sz w:val="20"/>
                <w:szCs w:val="20"/>
              </w:rPr>
              <w:t xml:space="preserve">Alta/consulta de los propios (/v1/me/appointments)</w:t>
            </w:r>
          </w:p>
        </w:tc>
      </w:tr>
      <w:tr>
        <w:tc>
          <w:tcPr>
            <w:tcW w:type="dxa" w:w="2800"/>
            <w:tcMar>
              <w:top w:type="dxa" w:w="60"/>
              <w:left w:type="dxa" w:w="100"/>
              <w:bottom w:type="dxa" w:w="60"/>
              <w:right w:type="dxa" w:w="100"/>
            </w:tcMar>
            <w:vAlign w:val="center"/>
          </w:tcPr>
          <w:p>
            <w:r>
              <w:rPr>
                <w:b w:val="false"/>
                <w:bCs w:val="false"/>
                <w:sz w:val="20"/>
                <w:szCs w:val="20"/>
              </w:rPr>
              <w:t xml:space="preserve">Envíos/logística</w:t>
            </w:r>
          </w:p>
        </w:tc>
        <w:tc>
          <w:tcPr>
            <w:tcW w:type="dxa" w:w="1300"/>
            <w:tcMar>
              <w:top w:type="dxa" w:w="60"/>
              <w:left w:type="dxa" w:w="100"/>
              <w:bottom w:type="dxa" w:w="60"/>
              <w:right w:type="dxa" w:w="100"/>
            </w:tcMar>
            <w:vAlign w:val="center"/>
          </w:tcPr>
          <w:p>
            <w:r>
              <w:rPr>
                <w:b w:val="false"/>
                <w:bCs w:val="false"/>
                <w:sz w:val="20"/>
                <w:szCs w:val="20"/>
              </w:rPr>
              <w:t xml:space="preserve">Sí</w:t>
            </w:r>
          </w:p>
        </w:tc>
        <w:tc>
          <w:tcPr>
            <w:tcW w:type="dxa" w:w="1900"/>
            <w:tcMar>
              <w:top w:type="dxa" w:w="60"/>
              <w:left w:type="dxa" w:w="100"/>
              <w:bottom w:type="dxa" w:w="60"/>
              <w:right w:type="dxa" w:w="100"/>
            </w:tcMar>
            <w:vAlign w:val="center"/>
          </w:tcPr>
          <w:p>
            <w:r>
              <w:rPr>
                <w:b w:val="false"/>
                <w:bCs w:val="false"/>
                <w:sz w:val="20"/>
                <w:szCs w:val="20"/>
              </w:rPr>
              <w:t xml:space="preserve">Sí</w:t>
            </w:r>
          </w:p>
        </w:tc>
        <w:tc>
          <w:tcPr>
            <w:tcW w:type="dxa" w:w="3360"/>
            <w:tcMar>
              <w:top w:type="dxa" w:w="60"/>
              <w:left w:type="dxa" w:w="100"/>
              <w:bottom w:type="dxa" w:w="60"/>
              <w:right w:type="dxa" w:w="100"/>
            </w:tcMar>
            <w:vAlign w:val="center"/>
          </w:tcPr>
          <w:p>
            <w:r>
              <w:rPr>
                <w:b w:val="false"/>
                <w:bCs w:val="false"/>
                <w:sz w:val="20"/>
                <w:szCs w:val="20"/>
              </w:rPr>
              <w:t xml:space="preserve">—</w:t>
            </w:r>
          </w:p>
        </w:tc>
      </w:tr>
      <w:tr>
        <w:tc>
          <w:tcPr>
            <w:tcW w:type="dxa" w:w="2800"/>
            <w:tcMar>
              <w:top w:type="dxa" w:w="60"/>
              <w:left w:type="dxa" w:w="100"/>
              <w:bottom w:type="dxa" w:w="60"/>
              <w:right w:type="dxa" w:w="100"/>
            </w:tcMar>
            <w:vAlign w:val="center"/>
          </w:tcPr>
          <w:p>
            <w:r>
              <w:rPr>
                <w:b w:val="false"/>
                <w:bCs w:val="false"/>
                <w:sz w:val="20"/>
                <w:szCs w:val="20"/>
              </w:rPr>
              <w:t xml:space="preserve">Indicadores de impacto</w:t>
            </w:r>
          </w:p>
        </w:tc>
        <w:tc>
          <w:tcPr>
            <w:tcW w:type="dxa" w:w="1300"/>
            <w:tcMar>
              <w:top w:type="dxa" w:w="60"/>
              <w:left w:type="dxa" w:w="100"/>
              <w:bottom w:type="dxa" w:w="60"/>
              <w:right w:type="dxa" w:w="100"/>
            </w:tcMar>
            <w:vAlign w:val="center"/>
          </w:tcPr>
          <w:p>
            <w:r>
              <w:rPr>
                <w:b w:val="false"/>
                <w:bCs w:val="false"/>
                <w:sz w:val="20"/>
                <w:szCs w:val="20"/>
              </w:rPr>
              <w:t xml:space="preserve">Sí</w:t>
            </w:r>
          </w:p>
        </w:tc>
        <w:tc>
          <w:tcPr>
            <w:tcW w:type="dxa" w:w="1900"/>
            <w:tcMar>
              <w:top w:type="dxa" w:w="60"/>
              <w:left w:type="dxa" w:w="100"/>
              <w:bottom w:type="dxa" w:w="60"/>
              <w:right w:type="dxa" w:w="100"/>
            </w:tcMar>
            <w:vAlign w:val="center"/>
          </w:tcPr>
          <w:p>
            <w:r>
              <w:rPr>
                <w:b w:val="false"/>
                <w:bCs w:val="false"/>
                <w:sz w:val="20"/>
                <w:szCs w:val="20"/>
              </w:rPr>
              <w:t xml:space="preserve">Sí</w:t>
            </w:r>
          </w:p>
        </w:tc>
        <w:tc>
          <w:tcPr>
            <w:tcW w:type="dxa" w:w="3360"/>
            <w:tcMar>
              <w:top w:type="dxa" w:w="60"/>
              <w:left w:type="dxa" w:w="100"/>
              <w:bottom w:type="dxa" w:w="60"/>
              <w:right w:type="dxa" w:w="100"/>
            </w:tcMar>
            <w:vAlign w:val="center"/>
          </w:tcPr>
          <w:p>
            <w:r>
              <w:rPr>
                <w:b w:val="false"/>
                <w:bCs w:val="false"/>
                <w:sz w:val="20"/>
                <w:szCs w:val="20"/>
              </w:rPr>
              <w:t xml:space="preserve">—</w:t>
            </w:r>
          </w:p>
        </w:tc>
      </w:tr>
      <w:tr>
        <w:tc>
          <w:tcPr>
            <w:tcW w:type="dxa" w:w="2800"/>
            <w:tcMar>
              <w:top w:type="dxa" w:w="60"/>
              <w:left w:type="dxa" w:w="100"/>
              <w:bottom w:type="dxa" w:w="60"/>
              <w:right w:type="dxa" w:w="100"/>
            </w:tcMar>
            <w:vAlign w:val="center"/>
          </w:tcPr>
          <w:p>
            <w:r>
              <w:rPr>
                <w:b w:val="false"/>
                <w:bCs w:val="false"/>
                <w:sz w:val="20"/>
                <w:szCs w:val="20"/>
              </w:rPr>
              <w:t xml:space="preserve">Catálogo — consulta</w:t>
            </w:r>
          </w:p>
        </w:tc>
        <w:tc>
          <w:tcPr>
            <w:tcW w:type="dxa" w:w="1300"/>
            <w:tcMar>
              <w:top w:type="dxa" w:w="60"/>
              <w:left w:type="dxa" w:w="100"/>
              <w:bottom w:type="dxa" w:w="60"/>
              <w:right w:type="dxa" w:w="100"/>
            </w:tcMar>
            <w:vAlign w:val="center"/>
          </w:tcPr>
          <w:p>
            <w:r>
              <w:rPr>
                <w:b w:val="false"/>
                <w:bCs w:val="false"/>
                <w:sz w:val="20"/>
                <w:szCs w:val="20"/>
              </w:rPr>
              <w:t xml:space="preserve">Sí</w:t>
            </w:r>
          </w:p>
        </w:tc>
        <w:tc>
          <w:tcPr>
            <w:tcW w:type="dxa" w:w="1900"/>
            <w:tcMar>
              <w:top w:type="dxa" w:w="60"/>
              <w:left w:type="dxa" w:w="100"/>
              <w:bottom w:type="dxa" w:w="60"/>
              <w:right w:type="dxa" w:w="100"/>
            </w:tcMar>
            <w:vAlign w:val="center"/>
          </w:tcPr>
          <w:p>
            <w:r>
              <w:rPr>
                <w:b w:val="false"/>
                <w:bCs w:val="false"/>
                <w:sz w:val="20"/>
                <w:szCs w:val="20"/>
              </w:rPr>
              <w:t xml:space="preserve">Sí</w:t>
            </w:r>
          </w:p>
        </w:tc>
        <w:tc>
          <w:tcPr>
            <w:tcW w:type="dxa" w:w="3360"/>
            <w:tcMar>
              <w:top w:type="dxa" w:w="60"/>
              <w:left w:type="dxa" w:w="100"/>
              <w:bottom w:type="dxa" w:w="60"/>
              <w:right w:type="dxa" w:w="100"/>
            </w:tcMar>
            <w:vAlign w:val="center"/>
          </w:tcPr>
          <w:p>
            <w:r>
              <w:rPr>
                <w:b w:val="false"/>
                <w:bCs w:val="false"/>
                <w:sz w:val="20"/>
                <w:szCs w:val="20"/>
              </w:rPr>
              <w:t xml:space="preserve">Público (sin autenticación)</w:t>
            </w:r>
          </w:p>
        </w:tc>
      </w:tr>
      <w:tr>
        <w:tc>
          <w:tcPr>
            <w:tcW w:type="dxa" w:w="2800"/>
            <w:tcMar>
              <w:top w:type="dxa" w:w="60"/>
              <w:left w:type="dxa" w:w="100"/>
              <w:bottom w:type="dxa" w:w="60"/>
              <w:right w:type="dxa" w:w="100"/>
            </w:tcMar>
            <w:vAlign w:val="center"/>
          </w:tcPr>
          <w:p>
            <w:r>
              <w:rPr>
                <w:b w:val="false"/>
                <w:bCs w:val="false"/>
                <w:sz w:val="20"/>
                <w:szCs w:val="20"/>
              </w:rPr>
              <w:t xml:space="preserve">Catálogo — alta/edición/venta</w:t>
            </w:r>
          </w:p>
        </w:tc>
        <w:tc>
          <w:tcPr>
            <w:tcW w:type="dxa" w:w="1300"/>
            <w:tcMar>
              <w:top w:type="dxa" w:w="60"/>
              <w:left w:type="dxa" w:w="100"/>
              <w:bottom w:type="dxa" w:w="60"/>
              <w:right w:type="dxa" w:w="100"/>
            </w:tcMar>
            <w:vAlign w:val="center"/>
          </w:tcPr>
          <w:p>
            <w:r>
              <w:rPr>
                <w:b w:val="false"/>
                <w:bCs w:val="false"/>
                <w:sz w:val="20"/>
                <w:szCs w:val="20"/>
              </w:rPr>
              <w:t xml:space="preserve">Sí</w:t>
            </w:r>
          </w:p>
        </w:tc>
        <w:tc>
          <w:tcPr>
            <w:tcW w:type="dxa" w:w="1900"/>
            <w:tcMar>
              <w:top w:type="dxa" w:w="60"/>
              <w:left w:type="dxa" w:w="100"/>
              <w:bottom w:type="dxa" w:w="60"/>
              <w:right w:type="dxa" w:w="100"/>
            </w:tcMar>
            <w:vAlign w:val="center"/>
          </w:tcPr>
          <w:p>
            <w:r>
              <w:rPr>
                <w:b w:val="false"/>
                <w:bCs w:val="false"/>
                <w:sz w:val="20"/>
                <w:szCs w:val="20"/>
              </w:rPr>
              <w:t xml:space="preserve">Sí</w:t>
            </w:r>
          </w:p>
        </w:tc>
        <w:tc>
          <w:tcPr>
            <w:tcW w:type="dxa" w:w="3360"/>
            <w:tcMar>
              <w:top w:type="dxa" w:w="60"/>
              <w:left w:type="dxa" w:w="100"/>
              <w:bottom w:type="dxa" w:w="60"/>
              <w:right w:type="dxa" w:w="100"/>
            </w:tcMar>
            <w:vAlign w:val="center"/>
          </w:tcPr>
          <w:p>
            <w:r>
              <w:rPr>
                <w:b w:val="false"/>
                <w:bCs w:val="false"/>
                <w:sz w:val="20"/>
                <w:szCs w:val="20"/>
              </w:rPr>
              <w:t xml:space="preserve">—</w:t>
            </w:r>
          </w:p>
        </w:tc>
      </w:tr>
      <w:tr>
        <w:tc>
          <w:tcPr>
            <w:tcW w:type="dxa" w:w="2800"/>
            <w:tcMar>
              <w:top w:type="dxa" w:w="60"/>
              <w:left w:type="dxa" w:w="100"/>
              <w:bottom w:type="dxa" w:w="60"/>
              <w:right w:type="dxa" w:w="100"/>
            </w:tcMar>
            <w:vAlign w:val="center"/>
          </w:tcPr>
          <w:p>
            <w:r>
              <w:rPr>
                <w:b w:val="false"/>
                <w:bCs w:val="false"/>
                <w:sz w:val="20"/>
                <w:szCs w:val="20"/>
              </w:rPr>
              <w:t xml:space="preserve">Usuarios y configuración</w:t>
            </w:r>
          </w:p>
        </w:tc>
        <w:tc>
          <w:tcPr>
            <w:tcW w:type="dxa" w:w="1300"/>
            <w:tcMar>
              <w:top w:type="dxa" w:w="60"/>
              <w:left w:type="dxa" w:w="100"/>
              <w:bottom w:type="dxa" w:w="60"/>
              <w:right w:type="dxa" w:w="100"/>
            </w:tcMar>
            <w:vAlign w:val="center"/>
          </w:tcPr>
          <w:p>
            <w:r>
              <w:rPr>
                <w:b w:val="false"/>
                <w:bCs w:val="false"/>
                <w:sz w:val="20"/>
                <w:szCs w:val="20"/>
              </w:rPr>
              <w:t xml:space="preserve">Sí</w:t>
            </w:r>
          </w:p>
        </w:tc>
        <w:tc>
          <w:tcPr>
            <w:tcW w:type="dxa" w:w="1900"/>
            <w:tcMar>
              <w:top w:type="dxa" w:w="60"/>
              <w:left w:type="dxa" w:w="100"/>
              <w:bottom w:type="dxa" w:w="60"/>
              <w:right w:type="dxa" w:w="100"/>
            </w:tcMar>
            <w:vAlign w:val="center"/>
          </w:tcPr>
          <w:p>
            <w:r>
              <w:rPr>
                <w:b w:val="false"/>
                <w:bCs w:val="false"/>
                <w:sz w:val="20"/>
                <w:szCs w:val="20"/>
              </w:rPr>
              <w:t xml:space="preserve">—</w:t>
            </w:r>
          </w:p>
        </w:tc>
        <w:tc>
          <w:tcPr>
            <w:tcW w:type="dxa" w:w="3360"/>
            <w:tcMar>
              <w:top w:type="dxa" w:w="60"/>
              <w:left w:type="dxa" w:w="100"/>
              <w:bottom w:type="dxa" w:w="60"/>
              <w:right w:type="dxa" w:w="100"/>
            </w:tcMar>
            <w:vAlign w:val="center"/>
          </w:tcPr>
          <w:p>
            <w:r>
              <w:rPr>
                <w:b w:val="false"/>
                <w:bCs w:val="false"/>
                <w:sz w:val="20"/>
                <w:szCs w:val="20"/>
              </w:rPr>
              <w:t xml:space="preserv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SRS — Banco de Anteojos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d1211de172ca06b63a56b38ae65fcef64e641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2026-09-27T21:53:31.658Z</dcterms:created>
  <dcterms:modified xsi:type="dcterms:W3CDTF">2026-09-27T21:53:31.658Z</dcterms:modified>
</cp:coreProperties>
</file>

<file path=docProps/custom.xml><?xml version="1.0" encoding="utf-8"?>
<Properties xmlns="http://schemas.openxmlformats.org/officeDocument/2006/custom-properties" xmlns:vt="http://schemas.openxmlformats.org/officeDocument/2006/docPropsVTypes"/>
</file>