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jc w:val="center"/>
      </w:pPr>
      <w:r>
        <w:rPr>
          <w:b/>
          <w:bCs/>
          <w:sz w:val="44"/>
          <w:szCs w:val="44"/>
        </w:rPr>
        <w:t xml:space="preserve">Trabajo Práctico de Análisis y Diseño</w:t>
      </w:r>
    </w:p>
    <w:p>
      <w:pPr>
        <w:spacing w:after="100"/>
        <w:jc w:val="center"/>
      </w:pPr>
      <w:r>
        <w:rPr>
          <w:b/>
          <w:bCs/>
          <w:sz w:val="34"/>
          <w:szCs w:val="34"/>
        </w:rPr>
        <w:t xml:space="preserve">Sistema Banco de Anteojos</w:t>
      </w:r>
    </w:p>
    <w:p>
      <w:pPr>
        <w:spacing w:after="100"/>
        <w:jc w:val="center"/>
      </w:pPr>
      <w:r>
        <w:rPr>
          <w:sz w:val="26"/>
          <w:szCs w:val="26"/>
        </w:rPr>
        <w:t xml:space="preserve">Fundación Hacer Futuro</w:t>
      </w:r>
    </w:p>
    <w:p>
      <w:pPr>
        <w:spacing w:after="900"/>
        <w:jc w:val="center"/>
      </w:pPr>
      <w:r>
        <w:rPr>
          <w:i/>
          <w:iCs/>
          <w:sz w:val="22"/>
          <w:szCs w:val="22"/>
        </w:rPr>
        <w:t xml:space="preserve">Proyecto Final UTN-FRT 2026 · ID T045</w:t>
      </w:r>
    </w:p>
    <w:p>
      <w:pPr>
        <w:pStyle w:val="Heading1"/>
        <w:spacing w:after="200"/>
      </w:pPr>
      <w:r>
        <w:t xml:space="preserve">Artefactos incluidos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9380"/>
      </w:tblGrid>
      <w:tr>
        <w:trPr>
          <w:tblHeader/>
        </w:trPr>
        <w:tc>
          <w:tcPr>
            <w:tcW w:type="dxa" w:w="700"/>
            <w:shd w:fill="D9D9D9" w:color="auto" w:val="clear"/>
            <w:tcMar>
              <w:top w:type="dxa" w:w="80"/>
              <w:left w:type="dxa" w:w="100"/>
              <w:bottom w:type="dxa" w:w="80"/>
              <w:right w:type="dxa" w:w="100"/>
            </w:tcMar>
            <w:vAlign w:val="center"/>
          </w:tcPr>
          <w:p>
            <w:r>
              <w:rPr>
                <w:b/>
                <w:bCs/>
                <w:sz w:val="20"/>
                <w:szCs w:val="20"/>
              </w:rPr>
              <w:t xml:space="preserve">#</w:t>
            </w:r>
          </w:p>
        </w:tc>
        <w:tc>
          <w:tcPr>
            <w:tcW w:type="dxa" w:w="9380"/>
            <w:shd w:fill="D9D9D9" w:color="auto" w:val="clear"/>
            <w:tcMar>
              <w:top w:type="dxa" w:w="80"/>
              <w:left w:type="dxa" w:w="100"/>
              <w:bottom w:type="dxa" w:w="80"/>
              <w:right w:type="dxa" w:w="100"/>
            </w:tcMar>
            <w:vAlign w:val="center"/>
          </w:tcPr>
          <w:p>
            <w:r>
              <w:rPr>
                <w:b/>
                <w:bCs/>
                <w:sz w:val="20"/>
                <w:szCs w:val="20"/>
              </w:rPr>
              <w:t xml:space="preserve">Artefacto</w:t>
            </w:r>
          </w:p>
        </w:tc>
      </w:tr>
      <w:tr>
        <w:tc>
          <w:tcPr>
            <w:tcW w:type="dxa" w:w="700"/>
            <w:tcMar>
              <w:top w:type="dxa" w:w="80"/>
              <w:left w:type="dxa" w:w="100"/>
              <w:bottom w:type="dxa" w:w="80"/>
              <w:right w:type="dxa" w:w="100"/>
            </w:tcMar>
            <w:vAlign w:val="center"/>
          </w:tcPr>
          <w:p>
            <w:r>
              <w:rPr>
                <w:b w:val="false"/>
                <w:bCs w:val="false"/>
                <w:sz w:val="20"/>
                <w:szCs w:val="20"/>
              </w:rPr>
              <w:t xml:space="preserve">1</w:t>
            </w:r>
          </w:p>
        </w:tc>
        <w:tc>
          <w:tcPr>
            <w:tcW w:type="dxa" w:w="9380"/>
            <w:tcMar>
              <w:top w:type="dxa" w:w="80"/>
              <w:left w:type="dxa" w:w="100"/>
              <w:bottom w:type="dxa" w:w="80"/>
              <w:right w:type="dxa" w:w="100"/>
            </w:tcMar>
            <w:vAlign w:val="center"/>
          </w:tcPr>
          <w:p>
            <w:r>
              <w:rPr>
                <w:b w:val="false"/>
                <w:bCs w:val="false"/>
                <w:sz w:val="20"/>
                <w:szCs w:val="20"/>
              </w:rPr>
              <w:t xml:space="preserve">Modelo de Dominio</w:t>
            </w:r>
          </w:p>
        </w:tc>
      </w:tr>
      <w:tr>
        <w:tc>
          <w:tcPr>
            <w:tcW w:type="dxa" w:w="700"/>
            <w:tcMar>
              <w:top w:type="dxa" w:w="80"/>
              <w:left w:type="dxa" w:w="100"/>
              <w:bottom w:type="dxa" w:w="80"/>
              <w:right w:type="dxa" w:w="100"/>
            </w:tcMar>
            <w:vAlign w:val="center"/>
          </w:tcPr>
          <w:p>
            <w:r>
              <w:rPr>
                <w:b w:val="false"/>
                <w:bCs w:val="false"/>
                <w:sz w:val="20"/>
                <w:szCs w:val="20"/>
              </w:rPr>
              <w:t xml:space="preserve">2</w:t>
            </w:r>
          </w:p>
        </w:tc>
        <w:tc>
          <w:tcPr>
            <w:tcW w:type="dxa" w:w="9380"/>
            <w:tcMar>
              <w:top w:type="dxa" w:w="80"/>
              <w:left w:type="dxa" w:w="100"/>
              <w:bottom w:type="dxa" w:w="80"/>
              <w:right w:type="dxa" w:w="100"/>
            </w:tcMar>
            <w:vAlign w:val="center"/>
          </w:tcPr>
          <w:p>
            <w:r>
              <w:rPr>
                <w:b w:val="false"/>
                <w:bCs w:val="false"/>
                <w:sz w:val="20"/>
                <w:szCs w:val="20"/>
              </w:rPr>
              <w:t xml:space="preserve">Diagrama de Casos de Uso</w:t>
            </w:r>
          </w:p>
        </w:tc>
      </w:tr>
      <w:tr>
        <w:tc>
          <w:tcPr>
            <w:tcW w:type="dxa" w:w="700"/>
            <w:tcMar>
              <w:top w:type="dxa" w:w="80"/>
              <w:left w:type="dxa" w:w="100"/>
              <w:bottom w:type="dxa" w:w="80"/>
              <w:right w:type="dxa" w:w="100"/>
            </w:tcMar>
            <w:vAlign w:val="center"/>
          </w:tcPr>
          <w:p>
            <w:r>
              <w:rPr>
                <w:b w:val="false"/>
                <w:bCs w:val="false"/>
                <w:sz w:val="20"/>
                <w:szCs w:val="20"/>
              </w:rPr>
              <w:t xml:space="preserve">3</w:t>
            </w:r>
          </w:p>
        </w:tc>
        <w:tc>
          <w:tcPr>
            <w:tcW w:type="dxa" w:w="9380"/>
            <w:tcMar>
              <w:top w:type="dxa" w:w="80"/>
              <w:left w:type="dxa" w:w="100"/>
              <w:bottom w:type="dxa" w:w="80"/>
              <w:right w:type="dxa" w:w="100"/>
            </w:tcMar>
            <w:vAlign w:val="center"/>
          </w:tcPr>
          <w:p>
            <w:r>
              <w:rPr>
                <w:b w:val="false"/>
                <w:bCs w:val="false"/>
                <w:sz w:val="20"/>
                <w:szCs w:val="20"/>
              </w:rPr>
              <w:t xml:space="preserve">Modelos de Casos de Uso</w:t>
            </w:r>
          </w:p>
        </w:tc>
      </w:tr>
      <w:tr>
        <w:tc>
          <w:tcPr>
            <w:tcW w:type="dxa" w:w="700"/>
            <w:tcMar>
              <w:top w:type="dxa" w:w="80"/>
              <w:left w:type="dxa" w:w="100"/>
              <w:bottom w:type="dxa" w:w="80"/>
              <w:right w:type="dxa" w:w="100"/>
            </w:tcMar>
            <w:vAlign w:val="center"/>
          </w:tcPr>
          <w:p>
            <w:r>
              <w:rPr>
                <w:b w:val="false"/>
                <w:bCs w:val="false"/>
                <w:sz w:val="20"/>
                <w:szCs w:val="20"/>
              </w:rPr>
              <w:t xml:space="preserve">4</w:t>
            </w:r>
          </w:p>
        </w:tc>
        <w:tc>
          <w:tcPr>
            <w:tcW w:type="dxa" w:w="9380"/>
            <w:tcMar>
              <w:top w:type="dxa" w:w="80"/>
              <w:left w:type="dxa" w:w="100"/>
              <w:bottom w:type="dxa" w:w="80"/>
              <w:right w:type="dxa" w:w="100"/>
            </w:tcMar>
            <w:vAlign w:val="center"/>
          </w:tcPr>
          <w:p>
            <w:r>
              <w:rPr>
                <w:b w:val="false"/>
                <w:bCs w:val="false"/>
                <w:sz w:val="20"/>
                <w:szCs w:val="20"/>
              </w:rPr>
              <w:t xml:space="preserve">Mockups</w:t>
            </w:r>
          </w:p>
        </w:tc>
      </w:tr>
      <w:tr>
        <w:tc>
          <w:tcPr>
            <w:tcW w:type="dxa" w:w="700"/>
            <w:tcMar>
              <w:top w:type="dxa" w:w="80"/>
              <w:left w:type="dxa" w:w="100"/>
              <w:bottom w:type="dxa" w:w="80"/>
              <w:right w:type="dxa" w:w="100"/>
            </w:tcMar>
            <w:vAlign w:val="center"/>
          </w:tcPr>
          <w:p>
            <w:r>
              <w:rPr>
                <w:b w:val="false"/>
                <w:bCs w:val="false"/>
                <w:sz w:val="20"/>
                <w:szCs w:val="20"/>
              </w:rPr>
              <w:t xml:space="preserve">5</w:t>
            </w:r>
          </w:p>
        </w:tc>
        <w:tc>
          <w:tcPr>
            <w:tcW w:type="dxa" w:w="9380"/>
            <w:tcMar>
              <w:top w:type="dxa" w:w="80"/>
              <w:left w:type="dxa" w:w="100"/>
              <w:bottom w:type="dxa" w:w="80"/>
              <w:right w:type="dxa" w:w="100"/>
            </w:tcMar>
            <w:vAlign w:val="center"/>
          </w:tcPr>
          <w:p>
            <w:r>
              <w:rPr>
                <w:b w:val="false"/>
                <w:bCs w:val="false"/>
                <w:sz w:val="20"/>
                <w:szCs w:val="20"/>
              </w:rPr>
              <w:t xml:space="preserve">Especificación de Requisitos de Software (IEEE 830)</w:t>
            </w:r>
          </w:p>
        </w:tc>
      </w:tr>
      <w:tr>
        <w:tc>
          <w:tcPr>
            <w:tcW w:type="dxa" w:w="700"/>
            <w:tcMar>
              <w:top w:type="dxa" w:w="80"/>
              <w:left w:type="dxa" w:w="100"/>
              <w:bottom w:type="dxa" w:w="80"/>
              <w:right w:type="dxa" w:w="100"/>
            </w:tcMar>
            <w:vAlign w:val="center"/>
          </w:tcPr>
          <w:p>
            <w:r>
              <w:rPr>
                <w:b w:val="false"/>
                <w:bCs w:val="false"/>
                <w:sz w:val="20"/>
                <w:szCs w:val="20"/>
              </w:rPr>
              <w:t xml:space="preserve">6</w:t>
            </w:r>
          </w:p>
        </w:tc>
        <w:tc>
          <w:tcPr>
            <w:tcW w:type="dxa" w:w="9380"/>
            <w:tcMar>
              <w:top w:type="dxa" w:w="80"/>
              <w:left w:type="dxa" w:w="100"/>
              <w:bottom w:type="dxa" w:w="80"/>
              <w:right w:type="dxa" w:w="100"/>
            </w:tcMar>
            <w:vAlign w:val="center"/>
          </w:tcPr>
          <w:p>
            <w:r>
              <w:rPr>
                <w:b w:val="false"/>
                <w:bCs w:val="false"/>
                <w:sz w:val="20"/>
                <w:szCs w:val="20"/>
              </w:rPr>
              <w:t xml:space="preserve">Documento de Arquitectura de Software: Vistas</w:t>
            </w:r>
          </w:p>
        </w:tc>
      </w:tr>
      <w:tr>
        <w:tc>
          <w:tcPr>
            <w:tcW w:type="dxa" w:w="700"/>
            <w:tcMar>
              <w:top w:type="dxa" w:w="80"/>
              <w:left w:type="dxa" w:w="100"/>
              <w:bottom w:type="dxa" w:w="80"/>
              <w:right w:type="dxa" w:w="100"/>
            </w:tcMar>
            <w:vAlign w:val="center"/>
          </w:tcPr>
          <w:p>
            <w:r>
              <w:rPr>
                <w:b w:val="false"/>
                <w:bCs w:val="false"/>
                <w:sz w:val="20"/>
                <w:szCs w:val="20"/>
              </w:rPr>
              <w:t xml:space="preserve">7</w:t>
            </w:r>
          </w:p>
        </w:tc>
        <w:tc>
          <w:tcPr>
            <w:tcW w:type="dxa" w:w="9380"/>
            <w:tcMar>
              <w:top w:type="dxa" w:w="80"/>
              <w:left w:type="dxa" w:w="100"/>
              <w:bottom w:type="dxa" w:w="80"/>
              <w:right w:type="dxa" w:w="100"/>
            </w:tcMar>
            <w:vAlign w:val="center"/>
          </w:tcPr>
          <w:p>
            <w:r>
              <w:rPr>
                <w:b w:val="false"/>
                <w:bCs w:val="false"/>
                <w:sz w:val="20"/>
                <w:szCs w:val="20"/>
              </w:rPr>
              <w:t xml:space="preserve">Casos de Uso Reales: diseño de interfaz gráfica</w:t>
            </w:r>
          </w:p>
        </w:tc>
      </w:tr>
      <w:tr>
        <w:tc>
          <w:tcPr>
            <w:tcW w:type="dxa" w:w="700"/>
            <w:tcMar>
              <w:top w:type="dxa" w:w="80"/>
              <w:left w:type="dxa" w:w="100"/>
              <w:bottom w:type="dxa" w:w="80"/>
              <w:right w:type="dxa" w:w="100"/>
            </w:tcMar>
            <w:vAlign w:val="center"/>
          </w:tcPr>
          <w:p>
            <w:r>
              <w:rPr>
                <w:b w:val="false"/>
                <w:bCs w:val="false"/>
                <w:sz w:val="20"/>
                <w:szCs w:val="20"/>
              </w:rPr>
              <w:t xml:space="preserve">8</w:t>
            </w:r>
          </w:p>
        </w:tc>
        <w:tc>
          <w:tcPr>
            <w:tcW w:type="dxa" w:w="9380"/>
            <w:tcMar>
              <w:top w:type="dxa" w:w="80"/>
              <w:left w:type="dxa" w:w="100"/>
              <w:bottom w:type="dxa" w:w="80"/>
              <w:right w:type="dxa" w:w="100"/>
            </w:tcMar>
            <w:vAlign w:val="center"/>
          </w:tcPr>
          <w:p>
            <w:r>
              <w:rPr>
                <w:b w:val="false"/>
                <w:bCs w:val="false"/>
                <w:sz w:val="20"/>
                <w:szCs w:val="20"/>
              </w:rPr>
              <w:t xml:space="preserve">Diagramas de Colaboración</w:t>
            </w:r>
          </w:p>
        </w:tc>
      </w:tr>
      <w:tr>
        <w:tc>
          <w:tcPr>
            <w:tcW w:type="dxa" w:w="700"/>
            <w:tcMar>
              <w:top w:type="dxa" w:w="80"/>
              <w:left w:type="dxa" w:w="100"/>
              <w:bottom w:type="dxa" w:w="80"/>
              <w:right w:type="dxa" w:w="100"/>
            </w:tcMar>
            <w:vAlign w:val="center"/>
          </w:tcPr>
          <w:p>
            <w:r>
              <w:rPr>
                <w:b w:val="false"/>
                <w:bCs w:val="false"/>
                <w:sz w:val="20"/>
                <w:szCs w:val="20"/>
              </w:rPr>
              <w:t xml:space="preserve">9</w:t>
            </w:r>
          </w:p>
        </w:tc>
        <w:tc>
          <w:tcPr>
            <w:tcW w:type="dxa" w:w="9380"/>
            <w:tcMar>
              <w:top w:type="dxa" w:w="80"/>
              <w:left w:type="dxa" w:w="100"/>
              <w:bottom w:type="dxa" w:w="80"/>
              <w:right w:type="dxa" w:w="100"/>
            </w:tcMar>
            <w:vAlign w:val="center"/>
          </w:tcPr>
          <w:p>
            <w:r>
              <w:rPr>
                <w:b w:val="false"/>
                <w:bCs w:val="false"/>
                <w:sz w:val="20"/>
                <w:szCs w:val="20"/>
              </w:rPr>
              <w:t xml:space="preserve">Modelo de Base de Datos</w:t>
            </w:r>
          </w:p>
        </w:tc>
      </w:tr>
    </w:tbl>
    <w:p>
      <w:r>
        <w:br w:type="page"/>
      </w:r>
    </w:p>
    <w:p>
      <w:pPr>
        <w:pStyle w:val="Heading1"/>
        <w:spacing w:after="200"/>
      </w:pPr>
      <w: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pacing w:after="100"/>
      </w:pPr>
    </w:p>
    <w:p>
      <w:r>
        <w:rPr>
          <w:i/>
          <w:iCs/>
          <w:color w:val="666666"/>
          <w:sz w:val="18"/>
          <w:szCs w:val="18"/>
        </w:rPr>
        <w:t xml:space="preserve">Hacer clic derecho sobre el índice y elegir "Actualizar campo" para completarlo con todas las secciones del documento.</w:t>
      </w:r>
    </w:p>
    <w:p>
      <w:pPr>
        <w:spacing w:before="1000"/>
      </w:pPr>
    </w:p>
    <w:p>
      <w:pPr>
        <w:spacing w:after="200"/>
        <w:jc w:val="center"/>
      </w:pPr>
      <w:r>
        <w:rPr>
          <w:b/>
          <w:bCs/>
          <w:sz w:val="38"/>
          <w:szCs w:val="38"/>
        </w:rPr>
        <w:t xml:space="preserve">Modelo de Dominio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Diagrama de clases conceptual: los conceptos del dominio del negocio, sus atributos y sus asociaciones, tal como los describe el SRS — sin claves primarias/foráneas, tipos de columna ni ningún otro detalle de implementación (eso corresponde al Modelo de Base de Datos). Es el artefacto de análisis que precede al diseño; la Vista Lógica del Documento de Arquitectura retoma estos mismos conceptos ya en el contexto de la solución de software.</w:t>
      </w:r>
    </w:p>
    <w:p>
      <w:pPr>
        <w:pStyle w:val="Heading1"/>
        <w:spacing w:after="180" w:before="420"/>
      </w:pPr>
      <w:r>
        <w:t xml:space="preserve">Diagrama</w:t>
      </w:r>
    </w:p>
    <w:p>
      <w:pPr>
        <w:spacing w:after="140"/>
      </w:pPr>
      <w:r>
        <w:rPr>
          <w:i/>
          <w:iCs/>
        </w:rPr>
        <w:t xml:space="preserve">Las 13 clases del dominio y sus 13 asociaciones, todas en un único diagrama (ninguna relación queda relegada a una nota de 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0" cstate="none"/>
                          <a:srcRect/>
                          <a:stretch>
                            <a:fillRect/>
                          </a:stretch>
                        </pic:blipFill>
                        <pic:spPr bwMode="auto">
                          <a:xfrm>
                            <a:off x="0" y="0"/>
                            <a:ext cx="6276975" cy="4210050"/>
                          </a:xfrm>
                          <a:prstGeom prst="rect">
                            <a:avLst/>
                          </a:prstGeom>
                        </pic:spPr>
                      </pic:pic>
                    </a:graphicData>
                  </a:graphic>
                </wp:inline>
              </w:drawing>
            </w:r>
          </w:p>
        </w:tc>
      </w:tr>
    </w:tbl>
    <w:p>
      <w:pPr>
        <w:pStyle w:val="Heading1"/>
        <w:spacing w:after="180" w:before="420"/>
      </w:pPr>
      <w:r>
        <w:t xml:space="preserve">Enumeraciones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6380"/>
        <w:gridCol w:w="1800"/>
      </w:tblGrid>
      <w:tr>
        <w:trPr>
          <w:tblHeader/>
        </w:trPr>
        <w:tc>
          <w:tcPr>
            <w:tcW w:type="dxa" w:w="1900"/>
            <w:shd w:fill="D9D9D9" w:color="auto" w:val="clear"/>
            <w:tcMar>
              <w:top w:type="dxa" w:w="60"/>
              <w:left w:type="dxa" w:w="80"/>
              <w:bottom w:type="dxa" w:w="60"/>
              <w:right w:type="dxa" w:w="80"/>
            </w:tcMar>
            <w:vAlign w:val="center"/>
          </w:tcPr>
          <w:p>
            <w:r>
              <w:rPr>
                <w:b/>
                <w:bCs/>
                <w:sz w:val="18"/>
                <w:szCs w:val="18"/>
              </w:rPr>
              <w:t xml:space="preserve">Enumeración</w:t>
            </w:r>
          </w:p>
        </w:tc>
        <w:tc>
          <w:tcPr>
            <w:tcW w:type="dxa" w:w="6380"/>
            <w:shd w:fill="D9D9D9" w:color="auto" w:val="clear"/>
            <w:tcMar>
              <w:top w:type="dxa" w:w="60"/>
              <w:left w:type="dxa" w:w="80"/>
              <w:bottom w:type="dxa" w:w="60"/>
              <w:right w:type="dxa" w:w="80"/>
            </w:tcMar>
            <w:vAlign w:val="center"/>
          </w:tcPr>
          <w:p>
            <w:r>
              <w:rPr>
                <w:b/>
                <w:bCs/>
                <w:sz w:val="18"/>
                <w:szCs w:val="18"/>
              </w:rPr>
              <w:t xml:space="preserve">Valores</w:t>
            </w:r>
          </w:p>
        </w:tc>
        <w:tc>
          <w:tcPr>
            <w:tcW w:type="dxa" w:w="1800"/>
            <w:shd w:fill="D9D9D9" w:color="auto" w:val="clear"/>
            <w:tcMar>
              <w:top w:type="dxa" w:w="60"/>
              <w:left w:type="dxa" w:w="80"/>
              <w:bottom w:type="dxa" w:w="60"/>
              <w:right w:type="dxa" w:w="80"/>
            </w:tcMar>
            <w:vAlign w:val="center"/>
          </w:tcPr>
          <w:p>
            <w:r>
              <w:rPr>
                <w:b/>
                <w:bCs/>
                <w:sz w:val="18"/>
                <w:szCs w:val="18"/>
              </w:rPr>
              <w:t xml:space="preserve">Usada en</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Role</w:t>
            </w:r>
          </w:p>
        </w:tc>
        <w:tc>
          <w:tcPr>
            <w:tcW w:type="dxa" w:w="6380"/>
            <w:tcMar>
              <w:top w:type="dxa" w:w="60"/>
              <w:left w:type="dxa" w:w="80"/>
              <w:bottom w:type="dxa" w:w="60"/>
              <w:right w:type="dxa" w:w="80"/>
            </w:tcMar>
            <w:vAlign w:val="center"/>
          </w:tcPr>
          <w:p>
            <w:r>
              <w:rPr>
                <w:b w:val="false"/>
                <w:bCs w:val="false"/>
                <w:sz w:val="18"/>
                <w:szCs w:val="18"/>
              </w:rPr>
              <w:t xml:space="preserve">ADMIN, OPERATOR, APPLICANT</w:t>
            </w:r>
          </w:p>
        </w:tc>
        <w:tc>
          <w:tcPr>
            <w:tcW w:type="dxa" w:w="1800"/>
            <w:tcMar>
              <w:top w:type="dxa" w:w="60"/>
              <w:left w:type="dxa" w:w="80"/>
              <w:bottom w:type="dxa" w:w="60"/>
              <w:right w:type="dxa" w:w="80"/>
            </w:tcMar>
            <w:vAlign w:val="center"/>
          </w:tcPr>
          <w:p>
            <w:r>
              <w:rPr>
                <w:b w:val="false"/>
                <w:bCs w:val="false"/>
                <w:sz w:val="18"/>
                <w:szCs w:val="18"/>
              </w:rPr>
              <w:t xml:space="preserve">User.role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DonorType</w:t>
            </w:r>
          </w:p>
        </w:tc>
        <w:tc>
          <w:tcPr>
            <w:tcW w:type="dxa" w:w="6380"/>
            <w:tcMar>
              <w:top w:type="dxa" w:w="60"/>
              <w:left w:type="dxa" w:w="80"/>
              <w:bottom w:type="dxa" w:w="60"/>
              <w:right w:type="dxa" w:w="80"/>
            </w:tcMar>
            <w:vAlign w:val="center"/>
          </w:tcPr>
          <w:p>
            <w:r>
              <w:rPr>
                <w:b w:val="false"/>
                <w:bCs w:val="false"/>
                <w:sz w:val="18"/>
                <w:szCs w:val="18"/>
              </w:rPr>
              <w:t xml:space="preserve">INDIVIDUAL, ORGANIZATION</w:t>
            </w:r>
          </w:p>
        </w:tc>
        <w:tc>
          <w:tcPr>
            <w:tcW w:type="dxa" w:w="1800"/>
            <w:tcMar>
              <w:top w:type="dxa" w:w="60"/>
              <w:left w:type="dxa" w:w="80"/>
              <w:bottom w:type="dxa" w:w="60"/>
              <w:right w:type="dxa" w:w="80"/>
            </w:tcMar>
            <w:vAlign w:val="center"/>
          </w:tcPr>
          <w:p>
            <w:r>
              <w:rPr>
                <w:b w:val="false"/>
                <w:bCs w:val="false"/>
                <w:sz w:val="18"/>
                <w:szCs w:val="18"/>
              </w:rPr>
              <w:t xml:space="preserve">Donor.donorType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FrameType</w:t>
            </w:r>
          </w:p>
        </w:tc>
        <w:tc>
          <w:tcPr>
            <w:tcW w:type="dxa" w:w="6380"/>
            <w:tcMar>
              <w:top w:type="dxa" w:w="60"/>
              <w:left w:type="dxa" w:w="80"/>
              <w:bottom w:type="dxa" w:w="60"/>
              <w:right w:type="dxa" w:w="80"/>
            </w:tcMar>
            <w:vAlign w:val="center"/>
          </w:tcPr>
          <w:p>
            <w:r>
              <w:rPr>
                <w:b w:val="false"/>
                <w:bCs w:val="false"/>
                <w:sz w:val="18"/>
                <w:szCs w:val="18"/>
              </w:rPr>
              <w:t xml:space="preserve">FULL_RIM, SEMI_RIMLESS, RIMLESS</w:t>
            </w:r>
          </w:p>
        </w:tc>
        <w:tc>
          <w:tcPr>
            <w:tcW w:type="dxa" w:w="1800"/>
            <w:tcMar>
              <w:top w:type="dxa" w:w="60"/>
              <w:left w:type="dxa" w:w="80"/>
              <w:bottom w:type="dxa" w:w="60"/>
              <w:right w:type="dxa" w:w="80"/>
            </w:tcMar>
            <w:vAlign w:val="center"/>
          </w:tcPr>
          <w:p>
            <w:r>
              <w:rPr>
                <w:b w:val="false"/>
                <w:bCs w:val="false"/>
                <w:sz w:val="18"/>
                <w:szCs w:val="18"/>
              </w:rPr>
              <w:t xml:space="preserve">Frame.frameType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FrameMaterial</w:t>
            </w:r>
          </w:p>
        </w:tc>
        <w:tc>
          <w:tcPr>
            <w:tcW w:type="dxa" w:w="6380"/>
            <w:tcMar>
              <w:top w:type="dxa" w:w="60"/>
              <w:left w:type="dxa" w:w="80"/>
              <w:bottom w:type="dxa" w:w="60"/>
              <w:right w:type="dxa" w:w="80"/>
            </w:tcMar>
            <w:vAlign w:val="center"/>
          </w:tcPr>
          <w:p>
            <w:r>
              <w:rPr>
                <w:b w:val="false"/>
                <w:bCs w:val="false"/>
                <w:sz w:val="18"/>
                <w:szCs w:val="18"/>
              </w:rPr>
              <w:t xml:space="preserve">ACETATE, METAL, TITANIUM, PLASTIC, OTHER</w:t>
            </w:r>
          </w:p>
        </w:tc>
        <w:tc>
          <w:tcPr>
            <w:tcW w:type="dxa" w:w="1800"/>
            <w:tcMar>
              <w:top w:type="dxa" w:w="60"/>
              <w:left w:type="dxa" w:w="80"/>
              <w:bottom w:type="dxa" w:w="60"/>
              <w:right w:type="dxa" w:w="80"/>
            </w:tcMar>
            <w:vAlign w:val="center"/>
          </w:tcPr>
          <w:p>
            <w:r>
              <w:rPr>
                <w:b w:val="false"/>
                <w:bCs w:val="false"/>
                <w:sz w:val="18"/>
                <w:szCs w:val="18"/>
              </w:rPr>
              <w:t xml:space="preserve">Frame.material</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FrameStatus</w:t>
            </w:r>
          </w:p>
        </w:tc>
        <w:tc>
          <w:tcPr>
            <w:tcW w:type="dxa" w:w="6380"/>
            <w:tcMar>
              <w:top w:type="dxa" w:w="60"/>
              <w:left w:type="dxa" w:w="80"/>
              <w:bottom w:type="dxa" w:w="60"/>
              <w:right w:type="dxa" w:w="80"/>
            </w:tcMar>
            <w:vAlign w:val="center"/>
          </w:tcPr>
          <w:p>
            <w:r>
              <w:rPr>
                <w:b w:val="false"/>
                <w:bCs w:val="false"/>
                <w:sz w:val="18"/>
                <w:szCs w:val="18"/>
              </w:rPr>
              <w:t xml:space="preserve">AVAILABLE, ASSIGNED, AT_OPTICIAN, READY, DELIVERED, DISCARDED</w:t>
            </w:r>
          </w:p>
        </w:tc>
        <w:tc>
          <w:tcPr>
            <w:tcW w:type="dxa" w:w="1800"/>
            <w:tcMar>
              <w:top w:type="dxa" w:w="60"/>
              <w:left w:type="dxa" w:w="80"/>
              <w:bottom w:type="dxa" w:w="60"/>
              <w:right w:type="dxa" w:w="80"/>
            </w:tcMar>
            <w:vAlign w:val="center"/>
          </w:tcPr>
          <w:p>
            <w:r>
              <w:rPr>
                <w:b w:val="false"/>
                <w:bCs w:val="false"/>
                <w:sz w:val="18"/>
                <w:szCs w:val="18"/>
              </w:rPr>
              <w:t xml:space="preserve">Frame.status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AppointmentStatus</w:t>
            </w:r>
          </w:p>
        </w:tc>
        <w:tc>
          <w:tcPr>
            <w:tcW w:type="dxa" w:w="6380"/>
            <w:tcMar>
              <w:top w:type="dxa" w:w="60"/>
              <w:left w:type="dxa" w:w="80"/>
              <w:bottom w:type="dxa" w:w="60"/>
              <w:right w:type="dxa" w:w="80"/>
            </w:tcMar>
            <w:vAlign w:val="center"/>
          </w:tcPr>
          <w:p>
            <w:r>
              <w:rPr>
                <w:b w:val="false"/>
                <w:bCs w:val="false"/>
                <w:sz w:val="18"/>
                <w:szCs w:val="18"/>
              </w:rPr>
              <w:t xml:space="preserve">PENDING_PAYMENT, SCHEDULED, COMPLETED, MISSED, CANCELLED</w:t>
            </w:r>
          </w:p>
        </w:tc>
        <w:tc>
          <w:tcPr>
            <w:tcW w:type="dxa" w:w="1800"/>
            <w:tcMar>
              <w:top w:type="dxa" w:w="60"/>
              <w:left w:type="dxa" w:w="80"/>
              <w:bottom w:type="dxa" w:w="60"/>
              <w:right w:type="dxa" w:w="80"/>
            </w:tcMar>
            <w:vAlign w:val="center"/>
          </w:tcPr>
          <w:p>
            <w:r>
              <w:rPr>
                <w:b w:val="false"/>
                <w:bCs w:val="false"/>
                <w:sz w:val="18"/>
                <w:szCs w:val="18"/>
              </w:rPr>
              <w:t xml:space="preserve">Appointment.status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ShipmentStatus</w:t>
            </w:r>
          </w:p>
        </w:tc>
        <w:tc>
          <w:tcPr>
            <w:tcW w:type="dxa" w:w="6380"/>
            <w:tcMar>
              <w:top w:type="dxa" w:w="60"/>
              <w:left w:type="dxa" w:w="80"/>
              <w:bottom w:type="dxa" w:w="60"/>
              <w:right w:type="dxa" w:w="80"/>
            </w:tcMar>
            <w:vAlign w:val="center"/>
          </w:tcPr>
          <w:p>
            <w:r>
              <w:rPr>
                <w:b w:val="false"/>
                <w:bCs w:val="false"/>
                <w:sz w:val="18"/>
                <w:szCs w:val="18"/>
              </w:rPr>
              <w:t xml:space="preserve">PENDING, CANCELLED, REGISTERED, INFO_RECEIVED, IN_TRANSIT, AVAILABLE_FOR_PICKUP, OUT_FOR_DELIVERY, DELIVERED, DELIVERY_FAILURE, EXCEPTION, EXPIRED, NOT_FOUND</w:t>
            </w:r>
          </w:p>
        </w:tc>
        <w:tc>
          <w:tcPr>
            <w:tcW w:type="dxa" w:w="1800"/>
            <w:tcMar>
              <w:top w:type="dxa" w:w="60"/>
              <w:left w:type="dxa" w:w="80"/>
              <w:bottom w:type="dxa" w:w="60"/>
              <w:right w:type="dxa" w:w="80"/>
            </w:tcMar>
            <w:vAlign w:val="center"/>
          </w:tcPr>
          <w:p>
            <w:r>
              <w:rPr>
                <w:b w:val="false"/>
                <w:bCs w:val="false"/>
                <w:sz w:val="18"/>
                <w:szCs w:val="18"/>
              </w:rPr>
              <w:t xml:space="preserve">Shipment.status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ProductStatus</w:t>
            </w:r>
          </w:p>
        </w:tc>
        <w:tc>
          <w:tcPr>
            <w:tcW w:type="dxa" w:w="6380"/>
            <w:tcMar>
              <w:top w:type="dxa" w:w="60"/>
              <w:left w:type="dxa" w:w="80"/>
              <w:bottom w:type="dxa" w:w="60"/>
              <w:right w:type="dxa" w:w="80"/>
            </w:tcMar>
            <w:vAlign w:val="center"/>
          </w:tcPr>
          <w:p>
            <w:r>
              <w:rPr>
                <w:b w:val="false"/>
                <w:bCs w:val="false"/>
                <w:sz w:val="18"/>
                <w:szCs w:val="18"/>
              </w:rPr>
              <w:t xml:space="preserve">ACTIVE, DISCONTINUED</w:t>
            </w:r>
          </w:p>
        </w:tc>
        <w:tc>
          <w:tcPr>
            <w:tcW w:type="dxa" w:w="1800"/>
            <w:tcMar>
              <w:top w:type="dxa" w:w="60"/>
              <w:left w:type="dxa" w:w="80"/>
              <w:bottom w:type="dxa" w:w="60"/>
              <w:right w:type="dxa" w:w="80"/>
            </w:tcMar>
            <w:vAlign w:val="center"/>
          </w:tcPr>
          <w:p>
            <w:r>
              <w:rPr>
                <w:b w:val="false"/>
                <w:bCs w:val="false"/>
                <w:sz w:val="18"/>
                <w:szCs w:val="18"/>
              </w:rPr>
              <w:t xml:space="preserve">Product.status</w:t>
            </w:r>
          </w:p>
        </w:tc>
      </w:tr>
    </w:tbl>
    <w:p>
      <w:pPr>
        <w:spacing w:after="140"/>
      </w:pPr>
      <w:r>
        <w:rPr>
          <w:i/>
          <w:iCs/>
        </w:rPr>
        <w:t xml:space="preserve">ShipmentEvent.status es la única excepción: es texto libre, no una enumeración cerrada, porque transporta el valor crudo que informa 17TRACK (un carrier externo puede agregar estados sin previo aviso).</w:t>
      </w:r>
    </w:p>
    <w:p>
      <w:pPr>
        <w:pStyle w:val="Heading1"/>
        <w:spacing w:after="180" w:before="420"/>
      </w:pPr>
      <w:r>
        <w:t xml:space="preserve">Asociaciones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8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Asociación</w:t>
            </w:r>
          </w:p>
        </w:tc>
        <w:tc>
          <w:tcPr>
            <w:tcW w:type="dxa" w:w="1600"/>
            <w:shd w:fill="D9D9D9" w:color="auto" w:val="clear"/>
            <w:tcMar>
              <w:top w:type="dxa" w:w="60"/>
              <w:left w:type="dxa" w:w="80"/>
              <w:bottom w:type="dxa" w:w="60"/>
              <w:right w:type="dxa" w:w="80"/>
            </w:tcMar>
            <w:vAlign w:val="center"/>
          </w:tcPr>
          <w:p>
            <w:r>
              <w:rPr>
                <w:b/>
                <w:bCs/>
                <w:sz w:val="18"/>
                <w:szCs w:val="18"/>
              </w:rPr>
              <w:t xml:space="preserve">Multiplicidad</w:t>
            </w:r>
          </w:p>
        </w:tc>
        <w:tc>
          <w:tcPr>
            <w:tcW w:type="dxa" w:w="5880"/>
            <w:shd w:fill="D9D9D9" w:color="auto" w:val="clear"/>
            <w:tcMar>
              <w:top w:type="dxa" w:w="60"/>
              <w:left w:type="dxa" w:w="80"/>
              <w:bottom w:type="dxa" w:w="60"/>
              <w:right w:type="dxa" w:w="80"/>
            </w:tcMar>
            <w:vAlign w:val="center"/>
          </w:tcPr>
          <w:p>
            <w:r>
              <w:rPr>
                <w:b/>
                <w:bCs/>
                <w:sz w:val="18"/>
                <w:szCs w:val="18"/>
              </w:rPr>
              <w:t xml:space="preserve">Rol / significado</w:t>
            </w:r>
          </w:p>
        </w:tc>
      </w:tr>
      <w:tr>
        <w:tc>
          <w:tcPr>
            <w:tcW w:type="dxa" w:w="2600"/>
            <w:tcMar>
              <w:top w:type="dxa" w:w="60"/>
              <w:left w:type="dxa" w:w="80"/>
              <w:bottom w:type="dxa" w:w="60"/>
              <w:right w:type="dxa" w:w="80"/>
            </w:tcMar>
            <w:vAlign w:val="center"/>
          </w:tcPr>
          <w:p>
            <w:r>
              <w:rPr>
                <w:b w:val="false"/>
                <w:bCs w:val="false"/>
                <w:sz w:val="18"/>
                <w:szCs w:val="18"/>
              </w:rPr>
              <w:t xml:space="preserve">User — Applicant</w:t>
            </w:r>
          </w:p>
        </w:tc>
        <w:tc>
          <w:tcPr>
            <w:tcW w:type="dxa" w:w="1600"/>
            <w:tcMar>
              <w:top w:type="dxa" w:w="60"/>
              <w:left w:type="dxa" w:w="80"/>
              <w:bottom w:type="dxa" w:w="60"/>
              <w:right w:type="dxa" w:w="80"/>
            </w:tcMar>
            <w:vAlign w:val="center"/>
          </w:tcPr>
          <w:p>
            <w:r>
              <w:rPr>
                <w:b w:val="false"/>
                <w:bCs w:val="false"/>
                <w:sz w:val="18"/>
                <w:szCs w:val="18"/>
              </w:rPr>
              <w:t xml:space="preserve">0..1 — 1</w:t>
            </w:r>
          </w:p>
        </w:tc>
        <w:tc>
          <w:tcPr>
            <w:tcW w:type="dxa" w:w="5880"/>
            <w:tcMar>
              <w:top w:type="dxa" w:w="60"/>
              <w:left w:type="dxa" w:w="80"/>
              <w:bottom w:type="dxa" w:w="60"/>
              <w:right w:type="dxa" w:w="80"/>
            </w:tcMar>
            <w:vAlign w:val="center"/>
          </w:tcPr>
          <w:p>
            <w:r>
              <w:rPr>
                <w:b w:val="false"/>
                <w:bCs w:val="false"/>
                <w:sz w:val="18"/>
                <w:szCs w:val="18"/>
              </w:rPr>
              <w:t xml:space="preserve">Un beneficiario puede autogestionarse con un login propio</w:t>
            </w:r>
          </w:p>
        </w:tc>
      </w:tr>
      <w:tr>
        <w:tc>
          <w:tcPr>
            <w:tcW w:type="dxa" w:w="2600"/>
            <w:tcMar>
              <w:top w:type="dxa" w:w="60"/>
              <w:left w:type="dxa" w:w="80"/>
              <w:bottom w:type="dxa" w:w="60"/>
              <w:right w:type="dxa" w:w="80"/>
            </w:tcMar>
            <w:vAlign w:val="center"/>
          </w:tcPr>
          <w:p>
            <w:r>
              <w:rPr>
                <w:b w:val="false"/>
                <w:bCs w:val="false"/>
                <w:sz w:val="18"/>
                <w:szCs w:val="18"/>
              </w:rPr>
              <w:t xml:space="preserve">Applicant — Prescription</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Un solicitante puede tener varias recetas a lo largo del tiempo</w:t>
            </w:r>
          </w:p>
        </w:tc>
      </w:tr>
      <w:tr>
        <w:tc>
          <w:tcPr>
            <w:tcW w:type="dxa" w:w="2600"/>
            <w:tcMar>
              <w:top w:type="dxa" w:w="60"/>
              <w:left w:type="dxa" w:w="80"/>
              <w:bottom w:type="dxa" w:w="60"/>
              <w:right w:type="dxa" w:w="80"/>
            </w:tcMar>
            <w:vAlign w:val="center"/>
          </w:tcPr>
          <w:p>
            <w:r>
              <w:rPr>
                <w:b w:val="false"/>
                <w:bCs w:val="false"/>
                <w:sz w:val="18"/>
                <w:szCs w:val="18"/>
              </w:rPr>
              <w:t xml:space="preserve">Applicant — AnsesCertificate</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único certificado vigente por solicitante</w:t>
            </w:r>
          </w:p>
        </w:tc>
      </w:tr>
      <w:tr>
        <w:tc>
          <w:tcPr>
            <w:tcW w:type="dxa" w:w="2600"/>
            <w:tcMar>
              <w:top w:type="dxa" w:w="60"/>
              <w:left w:type="dxa" w:w="80"/>
              <w:bottom w:type="dxa" w:w="60"/>
              <w:right w:type="dxa" w:w="80"/>
            </w:tcMar>
            <w:vAlign w:val="center"/>
          </w:tcPr>
          <w:p>
            <w:r>
              <w:rPr>
                <w:b w:val="false"/>
                <w:bCs w:val="false"/>
                <w:sz w:val="18"/>
                <w:szCs w:val="18"/>
              </w:rPr>
              <w:t xml:space="preserve">Applicant — Appointment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turnos del beneficiario</w:t>
            </w:r>
          </w:p>
        </w:tc>
      </w:tr>
      <w:tr>
        <w:tc>
          <w:tcPr>
            <w:tcW w:type="dxa" w:w="2600"/>
            <w:tcMar>
              <w:top w:type="dxa" w:w="60"/>
              <w:left w:type="dxa" w:w="80"/>
              <w:bottom w:type="dxa" w:w="60"/>
              <w:right w:type="dxa" w:w="80"/>
            </w:tcMar>
            <w:vAlign w:val="center"/>
          </w:tcPr>
          <w:p>
            <w:r>
              <w:rPr>
                <w:b w:val="false"/>
                <w:bCs w:val="false"/>
                <w:sz w:val="18"/>
                <w:szCs w:val="18"/>
              </w:rPr>
              <w:t xml:space="preserve">Applicant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marcos asignados al beneficiario</w:t>
            </w:r>
          </w:p>
        </w:tc>
      </w:tr>
      <w:tr>
        <w:tc>
          <w:tcPr>
            <w:tcW w:type="dxa" w:w="2600"/>
            <w:tcMar>
              <w:top w:type="dxa" w:w="60"/>
              <w:left w:type="dxa" w:w="80"/>
              <w:bottom w:type="dxa" w:w="60"/>
              <w:right w:type="dxa" w:w="80"/>
            </w:tcMar>
            <w:vAlign w:val="center"/>
          </w:tcPr>
          <w:p>
            <w:r>
              <w:rPr>
                <w:b w:val="false"/>
                <w:bCs w:val="false"/>
                <w:sz w:val="18"/>
                <w:szCs w:val="18"/>
              </w:rPr>
              <w:t xml:space="preserve">Prescription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La receta con la que se hizo el match</w:t>
            </w:r>
          </w:p>
        </w:tc>
      </w:tr>
      <w:tr>
        <w:tc>
          <w:tcPr>
            <w:tcW w:type="dxa" w:w="2600"/>
            <w:tcMar>
              <w:top w:type="dxa" w:w="60"/>
              <w:left w:type="dxa" w:w="80"/>
              <w:bottom w:type="dxa" w:w="60"/>
              <w:right w:type="dxa" w:w="80"/>
            </w:tcMar>
            <w:vAlign w:val="center"/>
          </w:tcPr>
          <w:p>
            <w:r>
              <w:rPr>
                <w:b w:val="false"/>
                <w:bCs w:val="false"/>
                <w:sz w:val="18"/>
                <w:szCs w:val="18"/>
              </w:rPr>
              <w:t xml:space="preserve">Donor — Frame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Los marcos que donó ese donante</w:t>
            </w:r>
          </w:p>
        </w:tc>
      </w:tr>
      <w:tr>
        <w:tc>
          <w:tcPr>
            <w:tcW w:type="dxa" w:w="2600"/>
            <w:tcMar>
              <w:top w:type="dxa" w:w="60"/>
              <w:left w:type="dxa" w:w="80"/>
              <w:bottom w:type="dxa" w:w="60"/>
              <w:right w:type="dxa" w:w="80"/>
            </w:tcMar>
            <w:vAlign w:val="center"/>
          </w:tcPr>
          <w:p>
            <w:r>
              <w:rPr>
                <w:b w:val="false"/>
                <w:bCs w:val="false"/>
                <w:sz w:val="18"/>
                <w:szCs w:val="18"/>
              </w:rPr>
              <w:t xml:space="preserve">Frame — Assignment</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marco tiene a lo sumo una asignación activa a la vez</w:t>
            </w:r>
          </w:p>
        </w:tc>
      </w:tr>
      <w:tr>
        <w:tc>
          <w:tcPr>
            <w:tcW w:type="dxa" w:w="2600"/>
            <w:tcMar>
              <w:top w:type="dxa" w:w="60"/>
              <w:left w:type="dxa" w:w="80"/>
              <w:bottom w:type="dxa" w:w="60"/>
              <w:right w:type="dxa" w:w="80"/>
            </w:tcMar>
            <w:vAlign w:val="center"/>
          </w:tcPr>
          <w:p>
            <w:r>
              <w:rPr>
                <w:b w:val="false"/>
                <w:bCs w:val="false"/>
                <w:sz w:val="18"/>
                <w:szCs w:val="18"/>
              </w:rPr>
              <w:t xml:space="preserve">Appointment — Assignment</w:t>
            </w:r>
          </w:p>
        </w:tc>
        <w:tc>
          <w:tcPr>
            <w:tcW w:type="dxa" w:w="1600"/>
            <w:tcMar>
              <w:top w:type="dxa" w:w="60"/>
              <w:left w:type="dxa" w:w="80"/>
              <w:bottom w:type="dxa" w:w="60"/>
              <w:right w:type="dxa" w:w="80"/>
            </w:tcMar>
            <w:vAlign w:val="center"/>
          </w:tcPr>
          <w:p>
            <w:r>
              <w:rPr>
                <w:b w:val="false"/>
                <w:bCs w:val="false"/>
                <w:sz w:val="18"/>
                <w:szCs w:val="18"/>
              </w:rPr>
              <w:t xml:space="preserve">0..1 — 0..1</w:t>
            </w:r>
          </w:p>
        </w:tc>
        <w:tc>
          <w:tcPr>
            <w:tcW w:type="dxa" w:w="5880"/>
            <w:tcMar>
              <w:top w:type="dxa" w:w="60"/>
              <w:left w:type="dxa" w:w="80"/>
              <w:bottom w:type="dxa" w:w="60"/>
              <w:right w:type="dxa" w:w="80"/>
            </w:tcMar>
            <w:vAlign w:val="center"/>
          </w:tcPr>
          <w:p>
            <w:r>
              <w:rPr>
                <w:b w:val="false"/>
                <w:bCs w:val="false"/>
                <w:sz w:val="18"/>
                <w:szCs w:val="18"/>
              </w:rPr>
              <w:t xml:space="preserve">Turno de retiro de un par puntual (opcional; null = atención general)</w:t>
            </w:r>
          </w:p>
        </w:tc>
      </w:tr>
      <w:tr>
        <w:tc>
          <w:tcPr>
            <w:tcW w:type="dxa" w:w="2600"/>
            <w:tcMar>
              <w:top w:type="dxa" w:w="60"/>
              <w:left w:type="dxa" w:w="80"/>
              <w:bottom w:type="dxa" w:w="60"/>
              <w:right w:type="dxa" w:w="80"/>
            </w:tcMar>
            <w:vAlign w:val="center"/>
          </w:tcPr>
          <w:p>
            <w:r>
              <w:rPr>
                <w:b w:val="false"/>
                <w:bCs w:val="false"/>
                <w:sz w:val="18"/>
                <w:szCs w:val="18"/>
              </w:rPr>
              <w:t xml:space="preserve">Frame — Shipment</w:t>
            </w:r>
          </w:p>
        </w:tc>
        <w:tc>
          <w:tcPr>
            <w:tcW w:type="dxa" w:w="1600"/>
            <w:tcMar>
              <w:top w:type="dxa" w:w="60"/>
              <w:left w:type="dxa" w:w="80"/>
              <w:bottom w:type="dxa" w:w="60"/>
              <w:right w:type="dxa" w:w="80"/>
            </w:tcMar>
            <w:vAlign w:val="center"/>
          </w:tcPr>
          <w:p>
            <w:r>
              <w:rPr>
                <w:b w:val="false"/>
                <w:bCs w:val="false"/>
                <w:sz w:val="18"/>
                <w:szCs w:val="18"/>
              </w:rPr>
              <w:t xml:space="preserve">0..* — 0..*</w:t>
            </w:r>
          </w:p>
        </w:tc>
        <w:tc>
          <w:tcPr>
            <w:tcW w:type="dxa" w:w="5880"/>
            <w:tcMar>
              <w:top w:type="dxa" w:w="60"/>
              <w:left w:type="dxa" w:w="80"/>
              <w:bottom w:type="dxa" w:w="60"/>
              <w:right w:type="dxa" w:w="80"/>
            </w:tcMar>
            <w:vAlign w:val="center"/>
          </w:tcPr>
          <w:p>
            <w:r>
              <w:rPr>
                <w:b w:val="false"/>
                <w:bCs w:val="false"/>
                <w:sz w:val="18"/>
                <w:szCs w:val="18"/>
              </w:rPr>
              <w:t xml:space="preserve">Un envío agrupa varios marcos; un marco puede viajar más de una vez</w:t>
            </w:r>
          </w:p>
        </w:tc>
      </w:tr>
      <w:tr>
        <w:tc>
          <w:tcPr>
            <w:tcW w:type="dxa" w:w="2600"/>
            <w:tcMar>
              <w:top w:type="dxa" w:w="60"/>
              <w:left w:type="dxa" w:w="80"/>
              <w:bottom w:type="dxa" w:w="60"/>
              <w:right w:type="dxa" w:w="80"/>
            </w:tcMar>
            <w:vAlign w:val="center"/>
          </w:tcPr>
          <w:p>
            <w:r>
              <w:rPr>
                <w:b w:val="false"/>
                <w:bCs w:val="false"/>
                <w:sz w:val="18"/>
                <w:szCs w:val="18"/>
              </w:rPr>
              <w:t xml:space="preserve">Shipment — ShipmentEvent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eventos del carrier para ese envío</w:t>
            </w:r>
          </w:p>
        </w:tc>
      </w:tr>
      <w:tr>
        <w:tc>
          <w:tcPr>
            <w:tcW w:type="dxa" w:w="2600"/>
            <w:tcMar>
              <w:top w:type="dxa" w:w="60"/>
              <w:left w:type="dxa" w:w="80"/>
              <w:bottom w:type="dxa" w:w="60"/>
              <w:right w:type="dxa" w:w="80"/>
            </w:tcMar>
            <w:vAlign w:val="center"/>
          </w:tcPr>
          <w:p>
            <w:r>
              <w:rPr>
                <w:b w:val="false"/>
                <w:bCs w:val="false"/>
                <w:sz w:val="18"/>
                <w:szCs w:val="18"/>
              </w:rPr>
              <w:t xml:space="preserve">Product — Sale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ventas de ese producto</w:t>
            </w:r>
          </w:p>
        </w:tc>
      </w:tr>
      <w:tr>
        <w:tc>
          <w:tcPr>
            <w:tcW w:type="dxa" w:w="2600"/>
            <w:tcMar>
              <w:top w:type="dxa" w:w="60"/>
              <w:left w:type="dxa" w:w="80"/>
              <w:bottom w:type="dxa" w:w="60"/>
              <w:right w:type="dxa" w:w="80"/>
            </w:tcMar>
            <w:vAlign w:val="center"/>
          </w:tcPr>
          <w:p>
            <w:r>
              <w:rPr>
                <w:b w:val="false"/>
                <w:bCs w:val="false"/>
                <w:sz w:val="18"/>
                <w:szCs w:val="18"/>
              </w:rPr>
              <w:t xml:space="preserve">Sale — Comprador</w:t>
            </w:r>
          </w:p>
        </w:tc>
        <w:tc>
          <w:tcPr>
            <w:tcW w:type="dxa" w:w="1600"/>
            <w:tcMar>
              <w:top w:type="dxa" w:w="60"/>
              <w:left w:type="dxa" w:w="80"/>
              <w:bottom w:type="dxa" w:w="60"/>
              <w:right w:type="dxa" w:w="80"/>
            </w:tcMar>
            <w:vAlign w:val="center"/>
          </w:tcPr>
          <w:p>
            <w:r>
              <w:rPr>
                <w:b w:val="false"/>
                <w:bCs w:val="false"/>
                <w:sz w:val="18"/>
                <w:szCs w:val="18"/>
              </w:rPr>
              <w:t xml:space="preserve">0..* — 1 (conceptual)</w:t>
            </w:r>
          </w:p>
        </w:tc>
        <w:tc>
          <w:tcPr>
            <w:tcW w:type="dxa" w:w="5880"/>
            <w:tcMar>
              <w:top w:type="dxa" w:w="60"/>
              <w:left w:type="dxa" w:w="80"/>
              <w:bottom w:type="dxa" w:w="60"/>
              <w:right w:type="dxa" w:w="80"/>
            </w:tcMar>
            <w:vAlign w:val="center"/>
          </w:tcPr>
          <w:p>
            <w:r>
              <w:rPr>
                <w:b w:val="false"/>
                <w:bCs w:val="false"/>
                <w:sz w:val="18"/>
                <w:szCs w:val="18"/>
              </w:rPr>
              <w:t xml:space="preserve">El comprador navega el catálogo y decide la compra; el Operador es quien la registra</w:t>
            </w:r>
          </w:p>
        </w:tc>
      </w:tr>
    </w:tbl>
    <w:p>
      <w:pPr>
        <w:pStyle w:val="Heading1"/>
        <w:spacing w:after="180" w:before="420"/>
      </w:pPr>
      <w:r>
        <w:t xml:space="preserve">Conceptos deliberadamente sin relación</w:t>
      </w:r>
    </w:p>
    <w:p>
      <w:pPr>
        <w:pStyle w:val="ListParagraph"/>
        <w:numPr>
          <w:ilvl w:val="0"/>
          <w:numId w:val="2"/>
        </w:numPr>
        <w:spacing w:after="70"/>
      </w:pPr>
      <w:r>
        <w:t xml:space="preserve">Product/Sale (catálogo de venta) no se relaciona con Donor ni Frame: son anteojos de sol para financiar la fundación, no marcos donados para beneficiarios — mezclar ambos inventarios sería un acoplamiento accidental.</w:t>
      </w:r>
    </w:p>
    <w:p>
      <w:pPr>
        <w:pStyle w:val="ListParagraph"/>
        <w:numPr>
          <w:ilvl w:val="0"/>
          <w:numId w:val="2"/>
        </w:numPr>
        <w:spacing w:after="70"/>
      </w:pPr>
      <w:r>
        <w:t xml:space="preserve">Comprador se dibuja con línea punteada porque es una asociación conceptual, no una FK persistida: el comprador no tiene cuenta ni login (consulta el catálogo público, RF-28), y el sistema no guarda su identidad más allá del nombre suelto en Sale.buyerName. Quien efectivamente registra la venta es un Operador — sin login especial para "vendedor" — por eso tampoco aparece una asociación formal Operador–Sale: el sistema no lleva ese registro.</w:t>
      </w:r>
    </w:p>
    <w:p>
      <w:pPr>
        <w:pStyle w:val="ListParagraph"/>
        <w:numPr>
          <w:ilvl w:val="0"/>
          <w:numId w:val="2"/>
        </w:numPr>
        <w:spacing w:after="70"/>
      </w:pPr>
      <w:r>
        <w:t xml:space="preserve">Assignment no tiene un atributo de "estado": cada hito del circuito (asignado, enviado a la óptica, retornado, entregado, cancelado) es un atributo de fecha propio, y esa secuencia de fechas ES la trazabilidad (RF-16). El estado "actual" de un marco vive en Frame.status, no se duplica acá.</w:t>
      </w:r>
    </w:p>
    <w:p>
      <w:pPr>
        <w:pStyle w:val="Heading1"/>
        <w:spacing w:after="180" w:before="420"/>
      </w:pPr>
      <w:r>
        <w:t xml:space="preserve">Relación con otros artefactos</w:t>
      </w:r>
    </w:p>
    <w:p>
      <w:pPr>
        <w:pStyle w:val="ListParagraph"/>
        <w:numPr>
          <w:ilvl w:val="0"/>
          <w:numId w:val="2"/>
        </w:numPr>
        <w:spacing w:after="70"/>
      </w:pPr>
      <w:r>
        <w:t xml:space="preserve">Los mismos conceptos, ya como clases de software organizadas en capas (*ServiceHandler, *Repository, DTOs), están en la Vista de Desarrollo del Documento de Arquitectura.</w:t>
      </w:r>
    </w:p>
    <w:p>
      <w:pPr>
        <w:pStyle w:val="ListParagraph"/>
        <w:numPr>
          <w:ilvl w:val="0"/>
          <w:numId w:val="2"/>
        </w:numPr>
        <w:spacing w:after="70"/>
      </w:pPr>
      <w:r>
        <w:t xml:space="preserve">La materialización de estas mismas entidades como tablas relacionales (con PK, FK, tipos de columna e índices) está en el Modelo de Base de Datos.</w:t>
      </w:r>
    </w:p>
    <w:p>
      <w:pPr>
        <w:pStyle w:val="ListParagraph"/>
        <w:numPr>
          <w:ilvl w:val="0"/>
          <w:numId w:val="2"/>
        </w:numPr>
        <w:spacing w:after="70"/>
      </w:pPr>
      <w:r>
        <w:t xml:space="preserve">El comportamiento de cada concepto frente a un actor está especificado en el Modelo de Casos de Uso y en los Casos de Uso Reales.</w:t>
      </w:r>
    </w:p>
    <w:p>
      <w:r>
        <w:br w:type="page"/>
      </w:r>
    </w:p>
    <w:p>
      <w:pPr>
        <w:spacing w:before="1000"/>
      </w:pPr>
    </w:p>
    <w:p>
      <w:pPr>
        <w:spacing w:after="200"/>
        <w:jc w:val="center"/>
      </w:pPr>
      <w:r>
        <w:rPr>
          <w:b/>
          <w:bCs/>
          <w:sz w:val="38"/>
          <w:szCs w:val="38"/>
        </w:rPr>
        <w:t xml:space="preserve">Diagrama de Casos de Uso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Entregable gráfico independiente: diagrama general de casos de uso más un diagrama por módulo. Las especificaciones textuales de cada caso de uso (actor, precondición, flujo, postcondición) están en el documento "Modelos de Casos de Uso"; este documento contiene solo los diagramas UML.</w:t>
      </w:r>
    </w:p>
    <w:p>
      <w:pPr>
        <w:pStyle w:val="Heading1"/>
        <w:spacing w:after="180" w:before="420"/>
      </w:pPr>
      <w:r>
        <w:t xml:space="preserve">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Diagrama general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1"/>
        <w:spacing w:after="180" w:before="420"/>
      </w:pPr>
      <w:r>
        <w:t xml:space="preserve">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1"/>
        <w:spacing w:after="180" w:before="420"/>
      </w:pPr>
      <w:r>
        <w:t xml:space="preserve">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spacing w:after="140"/>
      </w:pPr>
      <w:r>
        <w:rPr>
          <w:i/>
          <w:iCs/>
        </w:rPr>
        <w:t xml:space="preserve">Ver el documento "Modelos de Casos de Uso" para la especificación textual de cada caso de uso (ID, actores, precondición, flujo básico, postcondición, RF relacionado).</w:t>
      </w:r>
    </w:p>
    <w:p>
      <w:r>
        <w:br w:type="page"/>
      </w:r>
    </w:p>
    <w:p>
      <w:pPr>
        <w:spacing w:before="1200"/>
      </w:pPr>
    </w:p>
    <w:p>
      <w:pPr>
        <w:spacing w:after="200"/>
        <w:jc w:val="center"/>
      </w:pPr>
      <w:r>
        <w:rPr>
          <w:b/>
          <w:bCs/>
          <w:sz w:val="40"/>
          <w:szCs w:val="40"/>
        </w:rPr>
        <w:t xml:space="preserve">Modelo de Casos de Uso</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SRS · Proyecto Final UTN-FRT 2026 · ID T045</w:t>
      </w:r>
    </w:p>
    <w:p>
      <w:r>
        <w:br w:type="page"/>
      </w:r>
    </w:p>
    <w:p>
      <w:pPr>
        <w:pStyle w:val="Heading1"/>
        <w:spacing w:after="200" w:before="400"/>
      </w:pPr>
      <w:r>
        <w:t xml:space="preserve">1. Actores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536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536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536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spacing w:after="120"/>
      </w:pPr>
      <w:r>
        <w:rPr>
          <w:i/>
          <w:iCs/>
        </w:rPr>
        <w:t xml:space="preserve">Los casos de uso descriptos a continuación son esenciales: describen la intención del actor y la respuesta del sistema sin atarse a una pantalla concreta. El detalle de interacción con la interfaz (formularios, botones, mensajes) se especifica en el entregable "Casos de Uso Reales", que reutiliza los mismos identificadores (UC-01, UC-02, …) junto con los mockups correspondientes.</w:t>
      </w:r>
    </w:p>
    <w:p>
      <w:pPr>
        <w:pStyle w:val="Heading1"/>
        <w:spacing w:after="200" w:before="400"/>
      </w:pPr>
      <w:r>
        <w:t xml:space="preserve">2. Diagrama general de casos de uso</w:t>
      </w:r>
    </w:p>
    <w:p>
      <w:pPr>
        <w:spacing w:after="200"/>
        <w:jc w:val="center"/>
      </w:pPr>
      <w:r>
        <w:drawing>
          <wp:inline distT="0" distB="0" distL="0" distR="0">
            <wp:extent cx="5943600" cy="4343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1" cstate="none"/>
                    <a:srcRect/>
                    <a:stretch>
                      <a:fillRect/>
                    </a:stretch>
                  </pic:blipFill>
                  <pic:spPr bwMode="auto">
                    <a:xfrm>
                      <a:off x="0" y="0"/>
                      <a:ext cx="5943600" cy="4343400"/>
                    </a:xfrm>
                    <a:prstGeom prst="rect">
                      <a:avLst/>
                    </a:prstGeom>
                  </pic:spPr>
                </pic:pic>
              </a:graphicData>
            </a:graphic>
          </wp:inline>
        </w:drawing>
      </w:r>
    </w:p>
    <w:p>
      <w:pPr>
        <w:pStyle w:val="Heading1"/>
        <w:spacing w:after="200" w:before="400"/>
      </w:pPr>
      <w:r>
        <w:t xml:space="preserve">3. Módulo 1 — Solicitantes y Validación</w:t>
      </w:r>
    </w:p>
    <w:p>
      <w:pPr>
        <w:spacing w:after="200"/>
        <w:jc w:val="center"/>
      </w:pPr>
      <w:r>
        <w:drawing>
          <wp:inline distT="0" distB="0" distL="0" distR="0">
            <wp:extent cx="5943600" cy="4629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2" cstate="none"/>
                    <a:srcRect/>
                    <a:stretch>
                      <a:fillRect/>
                    </a:stretch>
                  </pic:blipFill>
                  <pic:spPr bwMode="auto">
                    <a:xfrm>
                      <a:off x="0" y="0"/>
                      <a:ext cx="5943600" cy="46291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UC-01</w:t>
            </w:r>
          </w:p>
        </w:tc>
        <w:tc>
          <w:tcPr>
            <w:tcW w:type="dxa" w:w="1900"/>
            <w:tcMar>
              <w:top w:type="dxa" w:w="60"/>
              <w:left w:type="dxa" w:w="80"/>
              <w:bottom w:type="dxa" w:w="60"/>
              <w:right w:type="dxa" w:w="80"/>
            </w:tcMar>
            <w:vAlign w:val="center"/>
          </w:tcPr>
          <w:p>
            <w:r>
              <w:rPr>
                <w:b w:val="false"/>
                <w:bCs w:val="false"/>
                <w:sz w:val="17"/>
                <w:szCs w:val="17"/>
              </w:rPr>
              <w:t xml:space="preserve">Registrar solicitante</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ingresa datos personales y DNI del beneficiario; el sistema valida formato y unicidad, y crea el registro.</w:t>
            </w:r>
          </w:p>
        </w:tc>
        <w:tc>
          <w:tcPr>
            <w:tcW w:type="dxa" w:w="1900"/>
            <w:tcMar>
              <w:top w:type="dxa" w:w="60"/>
              <w:left w:type="dxa" w:w="80"/>
              <w:bottom w:type="dxa" w:w="60"/>
              <w:right w:type="dxa" w:w="80"/>
            </w:tcMar>
            <w:vAlign w:val="center"/>
          </w:tcPr>
          <w:p>
            <w:r>
              <w:rPr>
                <w:b w:val="false"/>
                <w:bCs w:val="false"/>
                <w:sz w:val="17"/>
                <w:szCs w:val="17"/>
              </w:rPr>
              <w:t xml:space="preserve">Solicitante creado, identidad no validada.</w:t>
            </w:r>
          </w:p>
        </w:tc>
        <w:tc>
          <w:tcPr>
            <w:tcW w:type="dxa" w:w="700"/>
            <w:tcMar>
              <w:top w:type="dxa" w:w="60"/>
              <w:left w:type="dxa" w:w="80"/>
              <w:bottom w:type="dxa" w:w="60"/>
              <w:right w:type="dxa" w:w="80"/>
            </w:tcMar>
            <w:vAlign w:val="center"/>
          </w:tcPr>
          <w:p>
            <w:r>
              <w:rPr>
                <w:b w:val="false"/>
                <w:bCs w:val="false"/>
                <w:sz w:val="17"/>
                <w:szCs w:val="17"/>
              </w:rPr>
              <w:t xml:space="preserve">RF-01</w:t>
            </w:r>
          </w:p>
        </w:tc>
      </w:tr>
      <w:tr>
        <w:tc>
          <w:tcPr>
            <w:tcW w:type="dxa" w:w="700"/>
            <w:tcMar>
              <w:top w:type="dxa" w:w="60"/>
              <w:left w:type="dxa" w:w="80"/>
              <w:bottom w:type="dxa" w:w="60"/>
              <w:right w:type="dxa" w:w="80"/>
            </w:tcMar>
            <w:vAlign w:val="center"/>
          </w:tcPr>
          <w:p>
            <w:r>
              <w:rPr>
                <w:b w:val="false"/>
                <w:bCs w:val="false"/>
                <w:sz w:val="17"/>
                <w:szCs w:val="17"/>
              </w:rPr>
              <w:t xml:space="preserve">UC-02</w:t>
            </w:r>
          </w:p>
        </w:tc>
        <w:tc>
          <w:tcPr>
            <w:tcW w:type="dxa" w:w="1900"/>
            <w:tcMar>
              <w:top w:type="dxa" w:w="60"/>
              <w:left w:type="dxa" w:w="80"/>
              <w:bottom w:type="dxa" w:w="60"/>
              <w:right w:type="dxa" w:w="80"/>
            </w:tcMar>
            <w:vAlign w:val="center"/>
          </w:tcPr>
          <w:p>
            <w:r>
              <w:rPr>
                <w:b w:val="false"/>
                <w:bCs w:val="false"/>
                <w:sz w:val="17"/>
                <w:szCs w:val="17"/>
              </w:rPr>
              <w:t xml:space="preserve">Validar identidad (RENAPER)</w:t>
            </w:r>
          </w:p>
        </w:tc>
        <w:tc>
          <w:tcPr>
            <w:tcW w:type="dxa" w:w="1600"/>
            <w:tcMar>
              <w:top w:type="dxa" w:w="60"/>
              <w:left w:type="dxa" w:w="80"/>
              <w:bottom w:type="dxa" w:w="60"/>
              <w:right w:type="dxa" w:w="80"/>
            </w:tcMar>
            <w:vAlign w:val="center"/>
          </w:tcPr>
          <w:p>
            <w:r>
              <w:rPr>
                <w:b w:val="false"/>
                <w:bCs w:val="false"/>
                <w:sz w:val="17"/>
                <w:szCs w:val="17"/>
              </w:rPr>
              <w:t xml:space="preserve">Operador, RENAPER</w:t>
            </w:r>
          </w:p>
        </w:tc>
        <w:tc>
          <w:tcPr>
            <w:tcW w:type="dxa" w:w="1700"/>
            <w:tcMar>
              <w:top w:type="dxa" w:w="60"/>
              <w:left w:type="dxa" w:w="80"/>
              <w:bottom w:type="dxa" w:w="60"/>
              <w:right w:type="dxa" w:w="80"/>
            </w:tcMar>
            <w:vAlign w:val="center"/>
          </w:tcPr>
          <w:p>
            <w:r>
              <w:rPr>
                <w:b w:val="false"/>
                <w:bCs w:val="false"/>
                <w:sz w:val="17"/>
                <w:szCs w:val="17"/>
              </w:rPr>
              <w:t xml:space="preserve">Solicitante registrado (UC-01).</w:t>
            </w:r>
          </w:p>
        </w:tc>
        <w:tc>
          <w:tcPr>
            <w:tcW w:type="dxa" w:w="2600"/>
            <w:tcMar>
              <w:top w:type="dxa" w:w="60"/>
              <w:left w:type="dxa" w:w="80"/>
              <w:bottom w:type="dxa" w:w="60"/>
              <w:right w:type="dxa" w:w="80"/>
            </w:tcMar>
            <w:vAlign w:val="center"/>
          </w:tcPr>
          <w:p>
            <w:r>
              <w:rPr>
                <w:b w:val="false"/>
                <w:bCs w:val="false"/>
                <w:sz w:val="17"/>
                <w:szCs w:val="17"/>
              </w:rPr>
              <w:t xml:space="preserve">El sistema consulta el SID de RENAPER con el DNI; si coincide, marca la identidad como validada.</w:t>
            </w:r>
          </w:p>
        </w:tc>
        <w:tc>
          <w:tcPr>
            <w:tcW w:type="dxa" w:w="1900"/>
            <w:tcMar>
              <w:top w:type="dxa" w:w="60"/>
              <w:left w:type="dxa" w:w="80"/>
              <w:bottom w:type="dxa" w:w="60"/>
              <w:right w:type="dxa" w:w="80"/>
            </w:tcMar>
            <w:vAlign w:val="center"/>
          </w:tcPr>
          <w:p>
            <w:r>
              <w:rPr>
                <w:b w:val="false"/>
                <w:bCs w:val="false"/>
                <w:sz w:val="17"/>
                <w:szCs w:val="17"/>
              </w:rPr>
              <w:t xml:space="preserve">Identidad validada o rechazada.</w:t>
            </w:r>
          </w:p>
        </w:tc>
        <w:tc>
          <w:tcPr>
            <w:tcW w:type="dxa" w:w="700"/>
            <w:tcMar>
              <w:top w:type="dxa" w:w="60"/>
              <w:left w:type="dxa" w:w="80"/>
              <w:bottom w:type="dxa" w:w="60"/>
              <w:right w:type="dxa" w:w="80"/>
            </w:tcMar>
            <w:vAlign w:val="center"/>
          </w:tcPr>
          <w:p>
            <w:r>
              <w:rPr>
                <w:b w:val="false"/>
                <w:bCs w:val="false"/>
                <w:sz w:val="17"/>
                <w:szCs w:val="17"/>
              </w:rPr>
              <w:t xml:space="preserve">RF-02</w:t>
            </w:r>
          </w:p>
        </w:tc>
      </w:tr>
      <w:tr>
        <w:tc>
          <w:tcPr>
            <w:tcW w:type="dxa" w:w="700"/>
            <w:tcMar>
              <w:top w:type="dxa" w:w="60"/>
              <w:left w:type="dxa" w:w="80"/>
              <w:bottom w:type="dxa" w:w="60"/>
              <w:right w:type="dxa" w:w="80"/>
            </w:tcMar>
            <w:vAlign w:val="center"/>
          </w:tcPr>
          <w:p>
            <w:r>
              <w:rPr>
                <w:b w:val="false"/>
                <w:bCs w:val="false"/>
                <w:sz w:val="17"/>
                <w:szCs w:val="17"/>
              </w:rPr>
              <w:t xml:space="preserve">UC-06</w:t>
            </w:r>
          </w:p>
        </w:tc>
        <w:tc>
          <w:tcPr>
            <w:tcW w:type="dxa" w:w="1900"/>
            <w:tcMar>
              <w:top w:type="dxa" w:w="60"/>
              <w:left w:type="dxa" w:w="80"/>
              <w:bottom w:type="dxa" w:w="60"/>
              <w:right w:type="dxa" w:w="80"/>
            </w:tcMar>
            <w:vAlign w:val="center"/>
          </w:tcPr>
          <w:p>
            <w:r>
              <w:rPr>
                <w:b w:val="false"/>
                <w:bCs w:val="false"/>
                <w:sz w:val="17"/>
                <w:szCs w:val="17"/>
              </w:rPr>
              <w:t xml:space="preserve">Validar identidad presencial</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RENAPER no disponible.</w:t>
            </w:r>
          </w:p>
        </w:tc>
        <w:tc>
          <w:tcPr>
            <w:tcW w:type="dxa" w:w="2600"/>
            <w:tcMar>
              <w:top w:type="dxa" w:w="60"/>
              <w:left w:type="dxa" w:w="80"/>
              <w:bottom w:type="dxa" w:w="60"/>
              <w:right w:type="dxa" w:w="80"/>
            </w:tcMar>
            <w:vAlign w:val="center"/>
          </w:tcPr>
          <w:p>
            <w:r>
              <w:rPr>
                <w:b w:val="false"/>
                <w:bCs w:val="false"/>
                <w:sz w:val="17"/>
                <w:szCs w:val="17"/>
              </w:rPr>
              <w:t xml:space="preserve">El operador verifica el DNI físico y confirma manualmente la identidad.</w:t>
            </w:r>
          </w:p>
        </w:tc>
        <w:tc>
          <w:tcPr>
            <w:tcW w:type="dxa" w:w="1900"/>
            <w:tcMar>
              <w:top w:type="dxa" w:w="60"/>
              <w:left w:type="dxa" w:w="80"/>
              <w:bottom w:type="dxa" w:w="60"/>
              <w:right w:type="dxa" w:w="80"/>
            </w:tcMar>
            <w:vAlign w:val="center"/>
          </w:tcPr>
          <w:p>
            <w:r>
              <w:rPr>
                <w:b w:val="false"/>
                <w:bCs w:val="false"/>
                <w:sz w:val="17"/>
                <w:szCs w:val="17"/>
              </w:rPr>
              <w:t xml:space="preserve">Identidad validada por vía alternativa, trazada como manual.</w:t>
            </w:r>
          </w:p>
        </w:tc>
        <w:tc>
          <w:tcPr>
            <w:tcW w:type="dxa" w:w="700"/>
            <w:tcMar>
              <w:top w:type="dxa" w:w="60"/>
              <w:left w:type="dxa" w:w="80"/>
              <w:bottom w:type="dxa" w:w="60"/>
              <w:right w:type="dxa" w:w="80"/>
            </w:tcMar>
            <w:vAlign w:val="center"/>
          </w:tcPr>
          <w:p>
            <w:r>
              <w:rPr>
                <w:b w:val="false"/>
                <w:bCs w:val="false"/>
                <w:sz w:val="17"/>
                <w:szCs w:val="17"/>
              </w:rPr>
              <w:t xml:space="preserve">RF-06</w:t>
            </w:r>
          </w:p>
        </w:tc>
      </w:tr>
      <w:tr>
        <w:tc>
          <w:tcPr>
            <w:tcW w:type="dxa" w:w="700"/>
            <w:tcMar>
              <w:top w:type="dxa" w:w="60"/>
              <w:left w:type="dxa" w:w="80"/>
              <w:bottom w:type="dxa" w:w="60"/>
              <w:right w:type="dxa" w:w="80"/>
            </w:tcMar>
            <w:vAlign w:val="center"/>
          </w:tcPr>
          <w:p>
            <w:r>
              <w:rPr>
                <w:b w:val="false"/>
                <w:bCs w:val="false"/>
                <w:sz w:val="17"/>
                <w:szCs w:val="17"/>
              </w:rPr>
              <w:t xml:space="preserve">UC-03</w:t>
            </w:r>
          </w:p>
        </w:tc>
        <w:tc>
          <w:tcPr>
            <w:tcW w:type="dxa" w:w="1900"/>
            <w:tcMar>
              <w:top w:type="dxa" w:w="60"/>
              <w:left w:type="dxa" w:w="80"/>
              <w:bottom w:type="dxa" w:w="60"/>
              <w:right w:type="dxa" w:w="80"/>
            </w:tcMar>
            <w:vAlign w:val="center"/>
          </w:tcPr>
          <w:p>
            <w:r>
              <w:rPr>
                <w:b w:val="false"/>
                <w:bCs w:val="false"/>
                <w:sz w:val="17"/>
                <w:szCs w:val="17"/>
              </w:rPr>
              <w:t xml:space="preserve">Cargar certificado ANSES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Solicitante registrado.</w:t>
            </w:r>
          </w:p>
        </w:tc>
        <w:tc>
          <w:tcPr>
            <w:tcW w:type="dxa" w:w="2600"/>
            <w:tcMar>
              <w:top w:type="dxa" w:w="60"/>
              <w:left w:type="dxa" w:w="80"/>
              <w:bottom w:type="dxa" w:w="60"/>
              <w:right w:type="dxa" w:w="80"/>
            </w:tcMar>
            <w:vAlign w:val="center"/>
          </w:tcPr>
          <w:p>
            <w:r>
              <w:rPr>
                <w:b w:val="false"/>
                <w:bCs w:val="false"/>
                <w:sz w:val="17"/>
                <w:szCs w:val="17"/>
              </w:rPr>
              <w:t xml:space="preserve">El operador adjunta el PDF de Certificación Negativa; el sistema lo sube a R2 y lo asocia al solicitante.</w:t>
            </w:r>
          </w:p>
        </w:tc>
        <w:tc>
          <w:tcPr>
            <w:tcW w:type="dxa" w:w="1900"/>
            <w:tcMar>
              <w:top w:type="dxa" w:w="60"/>
              <w:left w:type="dxa" w:w="80"/>
              <w:bottom w:type="dxa" w:w="60"/>
              <w:right w:type="dxa" w:w="80"/>
            </w:tcMar>
            <w:vAlign w:val="center"/>
          </w:tcPr>
          <w:p>
            <w:r>
              <w:rPr>
                <w:b w:val="false"/>
                <w:bCs w:val="false"/>
                <w:sz w:val="17"/>
                <w:szCs w:val="17"/>
              </w:rPr>
              <w:t xml:space="preserve">Certificado cargado, pendiente de verificación.</w:t>
            </w:r>
          </w:p>
        </w:tc>
        <w:tc>
          <w:tcPr>
            <w:tcW w:type="dxa" w:w="700"/>
            <w:tcMar>
              <w:top w:type="dxa" w:w="60"/>
              <w:left w:type="dxa" w:w="80"/>
              <w:bottom w:type="dxa" w:w="60"/>
              <w:right w:type="dxa" w:w="80"/>
            </w:tcMar>
            <w:vAlign w:val="center"/>
          </w:tcPr>
          <w:p>
            <w:r>
              <w:rPr>
                <w:b w:val="false"/>
                <w:bCs w:val="false"/>
                <w:sz w:val="17"/>
                <w:szCs w:val="17"/>
              </w:rPr>
              <w:t xml:space="preserve">RF-03</w:t>
            </w:r>
          </w:p>
        </w:tc>
      </w:tr>
      <w:tr>
        <w:tc>
          <w:tcPr>
            <w:tcW w:type="dxa" w:w="700"/>
            <w:tcMar>
              <w:top w:type="dxa" w:w="60"/>
              <w:left w:type="dxa" w:w="80"/>
              <w:bottom w:type="dxa" w:w="60"/>
              <w:right w:type="dxa" w:w="80"/>
            </w:tcMar>
            <w:vAlign w:val="center"/>
          </w:tcPr>
          <w:p>
            <w:r>
              <w:rPr>
                <w:b w:val="false"/>
                <w:bCs w:val="false"/>
                <w:sz w:val="17"/>
                <w:szCs w:val="17"/>
              </w:rPr>
              <w:t xml:space="preserve">UC-04</w:t>
            </w:r>
          </w:p>
        </w:tc>
        <w:tc>
          <w:tcPr>
            <w:tcW w:type="dxa" w:w="1900"/>
            <w:tcMar>
              <w:top w:type="dxa" w:w="60"/>
              <w:left w:type="dxa" w:w="80"/>
              <w:bottom w:type="dxa" w:w="60"/>
              <w:right w:type="dxa" w:w="80"/>
            </w:tcMar>
            <w:vAlign w:val="center"/>
          </w:tcPr>
          <w:p>
            <w:r>
              <w:rPr>
                <w:b w:val="false"/>
                <w:bCs w:val="false"/>
                <w:sz w:val="17"/>
                <w:szCs w:val="17"/>
              </w:rPr>
              <w:t xml:space="preserve">Verificar CUIL (código de barras)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Certificado cargado (UC-03).</w:t>
            </w:r>
          </w:p>
        </w:tc>
        <w:tc>
          <w:tcPr>
            <w:tcW w:type="dxa" w:w="2600"/>
            <w:tcMar>
              <w:top w:type="dxa" w:w="60"/>
              <w:left w:type="dxa" w:w="80"/>
              <w:bottom w:type="dxa" w:w="60"/>
              <w:right w:type="dxa" w:w="80"/>
            </w:tcMar>
            <w:vAlign w:val="center"/>
          </w:tcPr>
          <w:p>
            <w:r>
              <w:rPr>
                <w:b w:val="false"/>
                <w:bCs w:val="false"/>
                <w:sz w:val="17"/>
                <w:szCs w:val="17"/>
              </w:rPr>
              <w:t xml:space="preserve">El sistema decodifica el código de barras del PDF y compara/asocia el CUIL contra el solicitante.</w:t>
            </w:r>
          </w:p>
        </w:tc>
        <w:tc>
          <w:tcPr>
            <w:tcW w:type="dxa" w:w="1900"/>
            <w:tcMar>
              <w:top w:type="dxa" w:w="60"/>
              <w:left w:type="dxa" w:w="80"/>
              <w:bottom w:type="dxa" w:w="60"/>
              <w:right w:type="dxa" w:w="80"/>
            </w:tcMar>
            <w:vAlign w:val="center"/>
          </w:tcPr>
          <w:p>
            <w:r>
              <w:rPr>
                <w:b w:val="false"/>
                <w:bCs w:val="false"/>
                <w:sz w:val="17"/>
                <w:szCs w:val="17"/>
              </w:rPr>
              <w:t xml:space="preserve">CUIL confirmado o rechazo con motivo.</w:t>
            </w:r>
          </w:p>
        </w:tc>
        <w:tc>
          <w:tcPr>
            <w:tcW w:type="dxa" w:w="700"/>
            <w:tcMar>
              <w:top w:type="dxa" w:w="60"/>
              <w:left w:type="dxa" w:w="80"/>
              <w:bottom w:type="dxa" w:w="60"/>
              <w:right w:type="dxa" w:w="80"/>
            </w:tcMar>
            <w:vAlign w:val="center"/>
          </w:tcPr>
          <w:p>
            <w:r>
              <w:rPr>
                <w:b w:val="false"/>
                <w:bCs w:val="false"/>
                <w:sz w:val="17"/>
                <w:szCs w:val="17"/>
              </w:rPr>
              <w:t xml:space="preserve">RF-04</w:t>
            </w:r>
          </w:p>
        </w:tc>
      </w:tr>
      <w:tr>
        <w:tc>
          <w:tcPr>
            <w:tcW w:type="dxa" w:w="700"/>
            <w:tcMar>
              <w:top w:type="dxa" w:w="60"/>
              <w:left w:type="dxa" w:w="80"/>
              <w:bottom w:type="dxa" w:w="60"/>
              <w:right w:type="dxa" w:w="80"/>
            </w:tcMar>
            <w:vAlign w:val="center"/>
          </w:tcPr>
          <w:p>
            <w:r>
              <w:rPr>
                <w:b w:val="false"/>
                <w:bCs w:val="false"/>
                <w:sz w:val="17"/>
                <w:szCs w:val="17"/>
              </w:rPr>
              <w:t xml:space="preserve">UC-05</w:t>
            </w:r>
          </w:p>
        </w:tc>
        <w:tc>
          <w:tcPr>
            <w:tcW w:type="dxa" w:w="1900"/>
            <w:tcMar>
              <w:top w:type="dxa" w:w="60"/>
              <w:left w:type="dxa" w:w="80"/>
              <w:bottom w:type="dxa" w:w="60"/>
              <w:right w:type="dxa" w:w="80"/>
            </w:tcMar>
            <w:vAlign w:val="center"/>
          </w:tcPr>
          <w:p>
            <w:r>
              <w:rPr>
                <w:b w:val="false"/>
                <w:bCs w:val="false"/>
                <w:sz w:val="17"/>
                <w:szCs w:val="17"/>
              </w:rPr>
              <w:t xml:space="preserve">Verificar vigencia ANSES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Certificado cargado (UC-03).</w:t>
            </w:r>
          </w:p>
        </w:tc>
        <w:tc>
          <w:tcPr>
            <w:tcW w:type="dxa" w:w="2600"/>
            <w:tcMar>
              <w:top w:type="dxa" w:w="60"/>
              <w:left w:type="dxa" w:w="80"/>
              <w:bottom w:type="dxa" w:w="60"/>
              <w:right w:type="dxa" w:w="80"/>
            </w:tcMar>
            <w:vAlign w:val="center"/>
          </w:tcPr>
          <w:p>
            <w:r>
              <w:rPr>
                <w:b w:val="false"/>
                <w:bCs w:val="false"/>
                <w:sz w:val="17"/>
                <w:szCs w:val="17"/>
              </w:rPr>
              <w:t xml:space="preserve">El sistema extrae la fecha de emisión y calcula la antigüedad; marca vencido si supera 30 días.</w:t>
            </w:r>
          </w:p>
        </w:tc>
        <w:tc>
          <w:tcPr>
            <w:tcW w:type="dxa" w:w="1900"/>
            <w:tcMar>
              <w:top w:type="dxa" w:w="60"/>
              <w:left w:type="dxa" w:w="80"/>
              <w:bottom w:type="dxa" w:w="60"/>
              <w:right w:type="dxa" w:w="80"/>
            </w:tcMar>
            <w:vAlign w:val="center"/>
          </w:tcPr>
          <w:p>
            <w:r>
              <w:rPr>
                <w:b w:val="false"/>
                <w:bCs w:val="false"/>
                <w:sz w:val="17"/>
                <w:szCs w:val="17"/>
              </w:rPr>
              <w:t xml:space="preserve">Estado de vigencia informado (no bloqueante).</w:t>
            </w:r>
          </w:p>
        </w:tc>
        <w:tc>
          <w:tcPr>
            <w:tcW w:type="dxa" w:w="700"/>
            <w:tcMar>
              <w:top w:type="dxa" w:w="60"/>
              <w:left w:type="dxa" w:w="80"/>
              <w:bottom w:type="dxa" w:w="60"/>
              <w:right w:type="dxa" w:w="80"/>
            </w:tcMar>
            <w:vAlign w:val="center"/>
          </w:tcPr>
          <w:p>
            <w:r>
              <w:rPr>
                <w:b w:val="false"/>
                <w:bCs w:val="false"/>
                <w:sz w:val="17"/>
                <w:szCs w:val="17"/>
              </w:rPr>
              <w:t xml:space="preserve">RF-05</w:t>
            </w:r>
          </w:p>
        </w:tc>
      </w:tr>
      <w:tr>
        <w:tc>
          <w:tcPr>
            <w:tcW w:type="dxa" w:w="700"/>
            <w:tcMar>
              <w:top w:type="dxa" w:w="60"/>
              <w:left w:type="dxa" w:w="80"/>
              <w:bottom w:type="dxa" w:w="60"/>
              <w:right w:type="dxa" w:w="80"/>
            </w:tcMar>
            <w:vAlign w:val="center"/>
          </w:tcPr>
          <w:p>
            <w:r>
              <w:rPr>
                <w:b w:val="false"/>
                <w:bCs w:val="false"/>
                <w:sz w:val="17"/>
                <w:szCs w:val="17"/>
              </w:rPr>
              <w:t xml:space="preserve">UC-07</w:t>
            </w:r>
          </w:p>
        </w:tc>
        <w:tc>
          <w:tcPr>
            <w:tcW w:type="dxa" w:w="1900"/>
            <w:tcMar>
              <w:top w:type="dxa" w:w="60"/>
              <w:left w:type="dxa" w:w="80"/>
              <w:bottom w:type="dxa" w:w="60"/>
              <w:right w:type="dxa" w:w="80"/>
            </w:tcMar>
            <w:vAlign w:val="center"/>
          </w:tcPr>
          <w:p>
            <w:r>
              <w:rPr>
                <w:b w:val="false"/>
                <w:bCs w:val="false"/>
                <w:sz w:val="17"/>
                <w:szCs w:val="17"/>
              </w:rPr>
              <w:t xml:space="preserve">Registrar receta médica</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Solicitante registrado.</w:t>
            </w:r>
          </w:p>
        </w:tc>
        <w:tc>
          <w:tcPr>
            <w:tcW w:type="dxa" w:w="2600"/>
            <w:tcMar>
              <w:top w:type="dxa" w:w="60"/>
              <w:left w:type="dxa" w:w="80"/>
              <w:bottom w:type="dxa" w:w="60"/>
              <w:right w:type="dxa" w:w="80"/>
            </w:tcMar>
            <w:vAlign w:val="center"/>
          </w:tcPr>
          <w:p>
            <w:r>
              <w:rPr>
                <w:b w:val="false"/>
                <w:bCs w:val="false"/>
                <w:sz w:val="17"/>
                <w:szCs w:val="17"/>
              </w:rPr>
              <w:t xml:space="preserve">El operador carga los valores de graduación (y opcionalmente el archivo de la receta).</w:t>
            </w:r>
          </w:p>
        </w:tc>
        <w:tc>
          <w:tcPr>
            <w:tcW w:type="dxa" w:w="1900"/>
            <w:tcMar>
              <w:top w:type="dxa" w:w="60"/>
              <w:left w:type="dxa" w:w="80"/>
              <w:bottom w:type="dxa" w:w="60"/>
              <w:right w:type="dxa" w:w="80"/>
            </w:tcMar>
            <w:vAlign w:val="center"/>
          </w:tcPr>
          <w:p>
            <w:r>
              <w:rPr>
                <w:b w:val="false"/>
                <w:bCs w:val="false"/>
                <w:sz w:val="17"/>
                <w:szCs w:val="17"/>
              </w:rPr>
              <w:t xml:space="preserve">Receta registrada, disponible para el match (UC-14).</w:t>
            </w:r>
          </w:p>
        </w:tc>
        <w:tc>
          <w:tcPr>
            <w:tcW w:type="dxa" w:w="700"/>
            <w:tcMar>
              <w:top w:type="dxa" w:w="60"/>
              <w:left w:type="dxa" w:w="80"/>
              <w:bottom w:type="dxa" w:w="60"/>
              <w:right w:type="dxa" w:w="80"/>
            </w:tcMar>
            <w:vAlign w:val="center"/>
          </w:tcPr>
          <w:p>
            <w:r>
              <w:rPr>
                <w:b w:val="false"/>
                <w:bCs w:val="false"/>
                <w:sz w:val="17"/>
                <w:szCs w:val="17"/>
              </w:rPr>
              <w:t xml:space="preserve">RF-07</w:t>
            </w:r>
          </w:p>
        </w:tc>
      </w:tr>
      <w:tr>
        <w:tc>
          <w:tcPr>
            <w:tcW w:type="dxa" w:w="700"/>
            <w:tcMar>
              <w:top w:type="dxa" w:w="60"/>
              <w:left w:type="dxa" w:w="80"/>
              <w:bottom w:type="dxa" w:w="60"/>
              <w:right w:type="dxa" w:w="80"/>
            </w:tcMar>
            <w:vAlign w:val="center"/>
          </w:tcPr>
          <w:p>
            <w:r>
              <w:rPr>
                <w:b w:val="false"/>
                <w:bCs w:val="false"/>
                <w:sz w:val="17"/>
                <w:szCs w:val="17"/>
              </w:rPr>
              <w:t xml:space="preserve">UC-08</w:t>
            </w:r>
          </w:p>
        </w:tc>
        <w:tc>
          <w:tcPr>
            <w:tcW w:type="dxa" w:w="1900"/>
            <w:tcMar>
              <w:top w:type="dxa" w:w="60"/>
              <w:left w:type="dxa" w:w="80"/>
              <w:bottom w:type="dxa" w:w="60"/>
              <w:right w:type="dxa" w:w="80"/>
            </w:tcMar>
            <w:vAlign w:val="center"/>
          </w:tcPr>
          <w:p>
            <w:r>
              <w:rPr>
                <w:b w:val="false"/>
                <w:bCs w:val="false"/>
                <w:sz w:val="17"/>
                <w:szCs w:val="17"/>
              </w:rPr>
              <w:t xml:space="preserve">Gestionar solicitantes (listar/editar)</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busca, consulta el detalle o edita los datos de un solicitante (DNI no editable).</w:t>
            </w:r>
          </w:p>
        </w:tc>
        <w:tc>
          <w:tcPr>
            <w:tcW w:type="dxa" w:w="1900"/>
            <w:tcMar>
              <w:top w:type="dxa" w:w="60"/>
              <w:left w:type="dxa" w:w="80"/>
              <w:bottom w:type="dxa" w:w="60"/>
              <w:right w:type="dxa" w:w="80"/>
            </w:tcMar>
            <w:vAlign w:val="center"/>
          </w:tcPr>
          <w:p>
            <w:r>
              <w:rPr>
                <w:b w:val="false"/>
                <w:bCs w:val="false"/>
                <w:sz w:val="17"/>
                <w:szCs w:val="17"/>
              </w:rPr>
              <w:t xml:space="preserve">Listado, detalle o edición confirmada.</w:t>
            </w:r>
          </w:p>
        </w:tc>
        <w:tc>
          <w:tcPr>
            <w:tcW w:type="dxa" w:w="700"/>
            <w:tcMar>
              <w:top w:type="dxa" w:w="60"/>
              <w:left w:type="dxa" w:w="80"/>
              <w:bottom w:type="dxa" w:w="60"/>
              <w:right w:type="dxa" w:w="80"/>
            </w:tcMar>
            <w:vAlign w:val="center"/>
          </w:tcPr>
          <w:p>
            <w:r>
              <w:rPr>
                <w:b w:val="false"/>
                <w:bCs w:val="false"/>
                <w:sz w:val="17"/>
                <w:szCs w:val="17"/>
              </w:rPr>
              <w:t xml:space="preserve">RF-08</w:t>
            </w:r>
          </w:p>
        </w:tc>
      </w:tr>
    </w:tbl>
    <w:p>
      <w:pPr>
        <w:pStyle w:val="Heading1"/>
        <w:spacing w:after="200" w:before="400"/>
      </w:pPr>
      <w:r>
        <w:t xml:space="preserve">4. Módulo 2 — Donaciones</w:t>
      </w:r>
    </w:p>
    <w:p>
      <w:pPr>
        <w:spacing w:after="200"/>
        <w:jc w:val="center"/>
      </w:pPr>
      <w:r>
        <w:drawing>
          <wp:inline distT="0" distB="0" distL="0" distR="0">
            <wp:extent cx="5943600" cy="2609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3" cstate="none"/>
                    <a:srcRect/>
                    <a:stretch>
                      <a:fillRect/>
                    </a:stretch>
                  </pic:blipFill>
                  <pic:spPr bwMode="auto">
                    <a:xfrm>
                      <a:off x="0" y="0"/>
                      <a:ext cx="5943600" cy="26098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UC-09</w:t>
            </w:r>
          </w:p>
        </w:tc>
        <w:tc>
          <w:tcPr>
            <w:tcW w:type="dxa" w:w="1900"/>
            <w:tcMar>
              <w:top w:type="dxa" w:w="60"/>
              <w:left w:type="dxa" w:w="80"/>
              <w:bottom w:type="dxa" w:w="60"/>
              <w:right w:type="dxa" w:w="80"/>
            </w:tcMar>
            <w:vAlign w:val="center"/>
          </w:tcPr>
          <w:p>
            <w:r>
              <w:rPr>
                <w:b w:val="false"/>
                <w:bCs w:val="false"/>
                <w:sz w:val="17"/>
                <w:szCs w:val="17"/>
              </w:rPr>
              <w:t xml:space="preserve">Registrar donante</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registra un donante (persona o entidad) con sus datos de contacto.</w:t>
            </w:r>
          </w:p>
        </w:tc>
        <w:tc>
          <w:tcPr>
            <w:tcW w:type="dxa" w:w="1900"/>
            <w:tcMar>
              <w:top w:type="dxa" w:w="60"/>
              <w:left w:type="dxa" w:w="80"/>
              <w:bottom w:type="dxa" w:w="60"/>
              <w:right w:type="dxa" w:w="80"/>
            </w:tcMar>
            <w:vAlign w:val="center"/>
          </w:tcPr>
          <w:p>
            <w:r>
              <w:rPr>
                <w:b w:val="false"/>
                <w:bCs w:val="false"/>
                <w:sz w:val="17"/>
                <w:szCs w:val="17"/>
              </w:rPr>
              <w:t xml:space="preserve">Donante creado.</w:t>
            </w:r>
          </w:p>
        </w:tc>
        <w:tc>
          <w:tcPr>
            <w:tcW w:type="dxa" w:w="700"/>
            <w:tcMar>
              <w:top w:type="dxa" w:w="60"/>
              <w:left w:type="dxa" w:w="80"/>
              <w:bottom w:type="dxa" w:w="60"/>
              <w:right w:type="dxa" w:w="80"/>
            </w:tcMar>
            <w:vAlign w:val="center"/>
          </w:tcPr>
          <w:p>
            <w:r>
              <w:rPr>
                <w:b w:val="false"/>
                <w:bCs w:val="false"/>
                <w:sz w:val="17"/>
                <w:szCs w:val="17"/>
              </w:rPr>
              <w:t xml:space="preserve">RF-09</w:t>
            </w:r>
          </w:p>
        </w:tc>
      </w:tr>
      <w:tr>
        <w:tc>
          <w:tcPr>
            <w:tcW w:type="dxa" w:w="700"/>
            <w:tcMar>
              <w:top w:type="dxa" w:w="60"/>
              <w:left w:type="dxa" w:w="80"/>
              <w:bottom w:type="dxa" w:w="60"/>
              <w:right w:type="dxa" w:w="80"/>
            </w:tcMar>
            <w:vAlign w:val="center"/>
          </w:tcPr>
          <w:p>
            <w:r>
              <w:rPr>
                <w:b w:val="false"/>
                <w:bCs w:val="false"/>
                <w:sz w:val="17"/>
                <w:szCs w:val="17"/>
              </w:rPr>
              <w:t xml:space="preserve">UC-10</w:t>
            </w:r>
          </w:p>
        </w:tc>
        <w:tc>
          <w:tcPr>
            <w:tcW w:type="dxa" w:w="1900"/>
            <w:tcMar>
              <w:top w:type="dxa" w:w="60"/>
              <w:left w:type="dxa" w:w="80"/>
              <w:bottom w:type="dxa" w:w="60"/>
              <w:right w:type="dxa" w:w="80"/>
            </w:tcMar>
            <w:vAlign w:val="center"/>
          </w:tcPr>
          <w:p>
            <w:r>
              <w:rPr>
                <w:b w:val="false"/>
                <w:bCs w:val="false"/>
                <w:sz w:val="17"/>
                <w:szCs w:val="17"/>
              </w:rPr>
              <w:t xml:space="preserve">Registrar recepción de marcos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Donante registrado.</w:t>
            </w:r>
          </w:p>
        </w:tc>
        <w:tc>
          <w:tcPr>
            <w:tcW w:type="dxa" w:w="2600"/>
            <w:tcMar>
              <w:top w:type="dxa" w:w="60"/>
              <w:left w:type="dxa" w:w="80"/>
              <w:bottom w:type="dxa" w:w="60"/>
              <w:right w:type="dxa" w:w="80"/>
            </w:tcMar>
            <w:vAlign w:val="center"/>
          </w:tcPr>
          <w:p>
            <w:r>
              <w:rPr>
                <w:b w:val="false"/>
                <w:bCs w:val="false"/>
                <w:sz w:val="17"/>
                <w:szCs w:val="17"/>
              </w:rPr>
              <w:t xml:space="preserve">El operador registra la cantidad y datos de los marcos recibidos; el sistema crea cada marco en estado AVAILABLE con su precinto único.</w:t>
            </w:r>
          </w:p>
        </w:tc>
        <w:tc>
          <w:tcPr>
            <w:tcW w:type="dxa" w:w="1900"/>
            <w:tcMar>
              <w:top w:type="dxa" w:w="60"/>
              <w:left w:type="dxa" w:w="80"/>
              <w:bottom w:type="dxa" w:w="60"/>
              <w:right w:type="dxa" w:w="80"/>
            </w:tcMar>
            <w:vAlign w:val="center"/>
          </w:tcPr>
          <w:p>
            <w:r>
              <w:rPr>
                <w:b w:val="false"/>
                <w:bCs w:val="false"/>
                <w:sz w:val="17"/>
                <w:szCs w:val="17"/>
              </w:rPr>
              <w:t xml:space="preserve">Marcos en inventario, vinculados al donante.</w:t>
            </w:r>
          </w:p>
        </w:tc>
        <w:tc>
          <w:tcPr>
            <w:tcW w:type="dxa" w:w="700"/>
            <w:tcMar>
              <w:top w:type="dxa" w:w="60"/>
              <w:left w:type="dxa" w:w="80"/>
              <w:bottom w:type="dxa" w:w="60"/>
              <w:right w:type="dxa" w:w="80"/>
            </w:tcMar>
            <w:vAlign w:val="center"/>
          </w:tcPr>
          <w:p>
            <w:r>
              <w:rPr>
                <w:b w:val="false"/>
                <w:bCs w:val="false"/>
                <w:sz w:val="17"/>
                <w:szCs w:val="17"/>
              </w:rPr>
              <w:t xml:space="preserve">RF-10</w:t>
            </w:r>
          </w:p>
        </w:tc>
      </w:tr>
      <w:tr>
        <w:tc>
          <w:tcPr>
            <w:tcW w:type="dxa" w:w="700"/>
            <w:tcMar>
              <w:top w:type="dxa" w:w="60"/>
              <w:left w:type="dxa" w:w="80"/>
              <w:bottom w:type="dxa" w:w="60"/>
              <w:right w:type="dxa" w:w="80"/>
            </w:tcMar>
            <w:vAlign w:val="center"/>
          </w:tcPr>
          <w:p>
            <w:r>
              <w:rPr>
                <w:b w:val="false"/>
                <w:bCs w:val="false"/>
                <w:sz w:val="17"/>
                <w:szCs w:val="17"/>
              </w:rPr>
              <w:t xml:space="preserve">UC-11</w:t>
            </w:r>
          </w:p>
        </w:tc>
        <w:tc>
          <w:tcPr>
            <w:tcW w:type="dxa" w:w="1900"/>
            <w:tcMar>
              <w:top w:type="dxa" w:w="60"/>
              <w:left w:type="dxa" w:w="80"/>
              <w:bottom w:type="dxa" w:w="60"/>
              <w:right w:type="dxa" w:w="80"/>
            </w:tcMar>
            <w:vAlign w:val="center"/>
          </w:tcPr>
          <w:p>
            <w:r>
              <w:rPr>
                <w:b w:val="false"/>
                <w:bCs w:val="false"/>
                <w:sz w:val="17"/>
                <w:szCs w:val="17"/>
              </w:rPr>
              <w:t xml:space="preserve">Clasificar marco por atributos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Marco recibido (UC-10).</w:t>
            </w:r>
          </w:p>
        </w:tc>
        <w:tc>
          <w:tcPr>
            <w:tcW w:type="dxa" w:w="2600"/>
            <w:tcMar>
              <w:top w:type="dxa" w:w="60"/>
              <w:left w:type="dxa" w:w="80"/>
              <w:bottom w:type="dxa" w:w="60"/>
              <w:right w:type="dxa" w:w="80"/>
            </w:tcMar>
            <w:vAlign w:val="center"/>
          </w:tcPr>
          <w:p>
            <w:r>
              <w:rPr>
                <w:b w:val="false"/>
                <w:bCs w:val="false"/>
                <w:sz w:val="17"/>
                <w:szCs w:val="17"/>
              </w:rPr>
              <w:t xml:space="preserve">El operador carga tipo, material y medidas del marco.</w:t>
            </w:r>
          </w:p>
        </w:tc>
        <w:tc>
          <w:tcPr>
            <w:tcW w:type="dxa" w:w="1900"/>
            <w:tcMar>
              <w:top w:type="dxa" w:w="60"/>
              <w:left w:type="dxa" w:w="80"/>
              <w:bottom w:type="dxa" w:w="60"/>
              <w:right w:type="dxa" w:w="80"/>
            </w:tcMar>
            <w:vAlign w:val="center"/>
          </w:tcPr>
          <w:p>
            <w:r>
              <w:rPr>
                <w:b w:val="false"/>
                <w:bCs w:val="false"/>
                <w:sz w:val="17"/>
                <w:szCs w:val="17"/>
              </w:rPr>
              <w:t xml:space="preserve">Marco clasificado, disponible para el match.</w:t>
            </w:r>
          </w:p>
        </w:tc>
        <w:tc>
          <w:tcPr>
            <w:tcW w:type="dxa" w:w="700"/>
            <w:tcMar>
              <w:top w:type="dxa" w:w="60"/>
              <w:left w:type="dxa" w:w="80"/>
              <w:bottom w:type="dxa" w:w="60"/>
              <w:right w:type="dxa" w:w="80"/>
            </w:tcMar>
            <w:vAlign w:val="center"/>
          </w:tcPr>
          <w:p>
            <w:r>
              <w:rPr>
                <w:b w:val="false"/>
                <w:bCs w:val="false"/>
                <w:sz w:val="17"/>
                <w:szCs w:val="17"/>
              </w:rPr>
              <w:t xml:space="preserve">RF-11</w:t>
            </w:r>
          </w:p>
        </w:tc>
      </w:tr>
      <w:tr>
        <w:tc>
          <w:tcPr>
            <w:tcW w:type="dxa" w:w="700"/>
            <w:tcMar>
              <w:top w:type="dxa" w:w="60"/>
              <w:left w:type="dxa" w:w="80"/>
              <w:bottom w:type="dxa" w:w="60"/>
              <w:right w:type="dxa" w:w="80"/>
            </w:tcMar>
            <w:vAlign w:val="center"/>
          </w:tcPr>
          <w:p>
            <w:r>
              <w:rPr>
                <w:b w:val="false"/>
                <w:bCs w:val="false"/>
                <w:sz w:val="17"/>
                <w:szCs w:val="17"/>
              </w:rPr>
              <w:t xml:space="preserve">UC-12</w:t>
            </w:r>
          </w:p>
        </w:tc>
        <w:tc>
          <w:tcPr>
            <w:tcW w:type="dxa" w:w="1900"/>
            <w:tcMar>
              <w:top w:type="dxa" w:w="60"/>
              <w:left w:type="dxa" w:w="80"/>
              <w:bottom w:type="dxa" w:w="60"/>
              <w:right w:type="dxa" w:w="80"/>
            </w:tcMar>
            <w:vAlign w:val="center"/>
          </w:tcPr>
          <w:p>
            <w:r>
              <w:rPr>
                <w:b w:val="false"/>
                <w:bCs w:val="false"/>
                <w:sz w:val="17"/>
                <w:szCs w:val="17"/>
              </w:rPr>
              <w:t xml:space="preserve">Consultar donaciones y donantes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busca donantes y consulta el historial de marcos donados por cada uno.</w:t>
            </w:r>
          </w:p>
        </w:tc>
        <w:tc>
          <w:tcPr>
            <w:tcW w:type="dxa" w:w="1900"/>
            <w:tcMar>
              <w:top w:type="dxa" w:w="60"/>
              <w:left w:type="dxa" w:w="80"/>
              <w:bottom w:type="dxa" w:w="60"/>
              <w:right w:type="dxa" w:w="80"/>
            </w:tcMar>
            <w:vAlign w:val="center"/>
          </w:tcPr>
          <w:p>
            <w:r>
              <w:rPr>
                <w:b w:val="false"/>
                <w:bCs w:val="false"/>
                <w:sz w:val="17"/>
                <w:szCs w:val="17"/>
              </w:rPr>
              <w:t xml:space="preserve">Listado/detalle mostrado.</w:t>
            </w:r>
          </w:p>
        </w:tc>
        <w:tc>
          <w:tcPr>
            <w:tcW w:type="dxa" w:w="700"/>
            <w:tcMar>
              <w:top w:type="dxa" w:w="60"/>
              <w:left w:type="dxa" w:w="80"/>
              <w:bottom w:type="dxa" w:w="60"/>
              <w:right w:type="dxa" w:w="80"/>
            </w:tcMar>
            <w:vAlign w:val="center"/>
          </w:tcPr>
          <w:p>
            <w:r>
              <w:rPr>
                <w:b w:val="false"/>
                <w:bCs w:val="false"/>
                <w:sz w:val="17"/>
                <w:szCs w:val="17"/>
              </w:rPr>
              <w:t xml:space="preserve">RF-12</w:t>
            </w:r>
          </w:p>
        </w:tc>
      </w:tr>
    </w:tbl>
    <w:p>
      <w:pPr>
        <w:pStyle w:val="Heading1"/>
        <w:spacing w:after="200" w:before="400"/>
      </w:pPr>
      <w:r>
        <w:t xml:space="preserve">5. Módulo 3 — Inventario, Asignación y Trazabilidad</w:t>
      </w:r>
    </w:p>
    <w:p>
      <w:pPr>
        <w:spacing w:after="200"/>
        <w:jc w:val="center"/>
      </w:pPr>
      <w:r>
        <w:drawing>
          <wp:inline distT="0" distB="0" distL="0" distR="0">
            <wp:extent cx="5943600" cy="26098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14" cstate="none"/>
                    <a:srcRect/>
                    <a:stretch>
                      <a:fillRect/>
                    </a:stretch>
                  </pic:blipFill>
                  <pic:spPr bwMode="auto">
                    <a:xfrm>
                      <a:off x="0" y="0"/>
                      <a:ext cx="5943600" cy="26098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UC-13</w:t>
            </w:r>
          </w:p>
        </w:tc>
        <w:tc>
          <w:tcPr>
            <w:tcW w:type="dxa" w:w="1900"/>
            <w:tcMar>
              <w:top w:type="dxa" w:w="60"/>
              <w:left w:type="dxa" w:w="80"/>
              <w:bottom w:type="dxa" w:w="60"/>
              <w:right w:type="dxa" w:w="80"/>
            </w:tcMar>
            <w:vAlign w:val="center"/>
          </w:tcPr>
          <w:p>
            <w:r>
              <w:rPr>
                <w:b w:val="false"/>
                <w:bCs w:val="false"/>
                <w:sz w:val="17"/>
                <w:szCs w:val="17"/>
              </w:rPr>
              <w:t xml:space="preserve">Consultar inventario</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consulta el inventario de marcos, filtrable por estado y atributos.</w:t>
            </w:r>
          </w:p>
        </w:tc>
        <w:tc>
          <w:tcPr>
            <w:tcW w:type="dxa" w:w="1900"/>
            <w:tcMar>
              <w:top w:type="dxa" w:w="60"/>
              <w:left w:type="dxa" w:w="80"/>
              <w:bottom w:type="dxa" w:w="60"/>
              <w:right w:type="dxa" w:w="80"/>
            </w:tcMar>
            <w:vAlign w:val="center"/>
          </w:tcPr>
          <w:p>
            <w:r>
              <w:rPr>
                <w:b w:val="false"/>
                <w:bCs w:val="false"/>
                <w:sz w:val="17"/>
                <w:szCs w:val="17"/>
              </w:rPr>
              <w:t xml:space="preserve">Vista de inventario actualizada.</w:t>
            </w:r>
          </w:p>
        </w:tc>
        <w:tc>
          <w:tcPr>
            <w:tcW w:type="dxa" w:w="700"/>
            <w:tcMar>
              <w:top w:type="dxa" w:w="60"/>
              <w:left w:type="dxa" w:w="80"/>
              <w:bottom w:type="dxa" w:w="60"/>
              <w:right w:type="dxa" w:w="80"/>
            </w:tcMar>
            <w:vAlign w:val="center"/>
          </w:tcPr>
          <w:p>
            <w:r>
              <w:rPr>
                <w:b w:val="false"/>
                <w:bCs w:val="false"/>
                <w:sz w:val="17"/>
                <w:szCs w:val="17"/>
              </w:rPr>
              <w:t xml:space="preserve">RF-13</w:t>
            </w:r>
          </w:p>
        </w:tc>
      </w:tr>
      <w:tr>
        <w:tc>
          <w:tcPr>
            <w:tcW w:type="dxa" w:w="700"/>
            <w:tcMar>
              <w:top w:type="dxa" w:w="60"/>
              <w:left w:type="dxa" w:w="80"/>
              <w:bottom w:type="dxa" w:w="60"/>
              <w:right w:type="dxa" w:w="80"/>
            </w:tcMar>
            <w:vAlign w:val="center"/>
          </w:tcPr>
          <w:p>
            <w:r>
              <w:rPr>
                <w:b w:val="false"/>
                <w:bCs w:val="false"/>
                <w:sz w:val="17"/>
                <w:szCs w:val="17"/>
              </w:rPr>
              <w:t xml:space="preserve">UC-14</w:t>
            </w:r>
          </w:p>
        </w:tc>
        <w:tc>
          <w:tcPr>
            <w:tcW w:type="dxa" w:w="1900"/>
            <w:tcMar>
              <w:top w:type="dxa" w:w="60"/>
              <w:left w:type="dxa" w:w="80"/>
              <w:bottom w:type="dxa" w:w="60"/>
              <w:right w:type="dxa" w:w="80"/>
            </w:tcMar>
            <w:vAlign w:val="center"/>
          </w:tcPr>
          <w:p>
            <w:r>
              <w:rPr>
                <w:b w:val="false"/>
                <w:bCs w:val="false"/>
                <w:sz w:val="17"/>
                <w:szCs w:val="17"/>
              </w:rPr>
              <w:t xml:space="preserve">Ejecutar match receta↔marco</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Receta registrada (UC-07).</w:t>
            </w:r>
          </w:p>
        </w:tc>
        <w:tc>
          <w:tcPr>
            <w:tcW w:type="dxa" w:w="2600"/>
            <w:tcMar>
              <w:top w:type="dxa" w:w="60"/>
              <w:left w:type="dxa" w:w="80"/>
              <w:bottom w:type="dxa" w:w="60"/>
              <w:right w:type="dxa" w:w="80"/>
            </w:tcMar>
            <w:vAlign w:val="center"/>
          </w:tcPr>
          <w:p>
            <w:r>
              <w:rPr>
                <w:b w:val="false"/>
                <w:bCs w:val="false"/>
                <w:sz w:val="17"/>
                <w:szCs w:val="17"/>
              </w:rPr>
              <w:t xml:space="preserve">El sistema filtra/ordena los marcos disponibles compatibles con la graduación y atributos requeridos.</w:t>
            </w:r>
          </w:p>
        </w:tc>
        <w:tc>
          <w:tcPr>
            <w:tcW w:type="dxa" w:w="1900"/>
            <w:tcMar>
              <w:top w:type="dxa" w:w="60"/>
              <w:left w:type="dxa" w:w="80"/>
              <w:bottom w:type="dxa" w:w="60"/>
              <w:right w:type="dxa" w:w="80"/>
            </w:tcMar>
            <w:vAlign w:val="center"/>
          </w:tcPr>
          <w:p>
            <w:r>
              <w:rPr>
                <w:b w:val="false"/>
                <w:bCs w:val="false"/>
                <w:sz w:val="17"/>
                <w:szCs w:val="17"/>
              </w:rPr>
              <w:t xml:space="preserve">Lista de marcos candidatos.</w:t>
            </w:r>
          </w:p>
        </w:tc>
        <w:tc>
          <w:tcPr>
            <w:tcW w:type="dxa" w:w="700"/>
            <w:tcMar>
              <w:top w:type="dxa" w:w="60"/>
              <w:left w:type="dxa" w:w="80"/>
              <w:bottom w:type="dxa" w:w="60"/>
              <w:right w:type="dxa" w:w="80"/>
            </w:tcMar>
            <w:vAlign w:val="center"/>
          </w:tcPr>
          <w:p>
            <w:r>
              <w:rPr>
                <w:b w:val="false"/>
                <w:bCs w:val="false"/>
                <w:sz w:val="17"/>
                <w:szCs w:val="17"/>
              </w:rPr>
              <w:t xml:space="preserve">RF-14</w:t>
            </w:r>
          </w:p>
        </w:tc>
      </w:tr>
      <w:tr>
        <w:tc>
          <w:tcPr>
            <w:tcW w:type="dxa" w:w="700"/>
            <w:tcMar>
              <w:top w:type="dxa" w:w="60"/>
              <w:left w:type="dxa" w:w="80"/>
              <w:bottom w:type="dxa" w:w="60"/>
              <w:right w:type="dxa" w:w="80"/>
            </w:tcMar>
            <w:vAlign w:val="center"/>
          </w:tcPr>
          <w:p>
            <w:r>
              <w:rPr>
                <w:b w:val="false"/>
                <w:bCs w:val="false"/>
                <w:sz w:val="17"/>
                <w:szCs w:val="17"/>
              </w:rPr>
              <w:t xml:space="preserve">UC-15</w:t>
            </w:r>
          </w:p>
        </w:tc>
        <w:tc>
          <w:tcPr>
            <w:tcW w:type="dxa" w:w="1900"/>
            <w:tcMar>
              <w:top w:type="dxa" w:w="60"/>
              <w:left w:type="dxa" w:w="80"/>
              <w:bottom w:type="dxa" w:w="60"/>
              <w:right w:type="dxa" w:w="80"/>
            </w:tcMar>
            <w:vAlign w:val="center"/>
          </w:tcPr>
          <w:p>
            <w:r>
              <w:rPr>
                <w:b w:val="false"/>
                <w:bCs w:val="false"/>
                <w:sz w:val="17"/>
                <w:szCs w:val="17"/>
              </w:rPr>
              <w:t xml:space="preserve">Asignar marco a beneficiario</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Match ejecutado (UC-14).</w:t>
            </w:r>
          </w:p>
        </w:tc>
        <w:tc>
          <w:tcPr>
            <w:tcW w:type="dxa" w:w="2600"/>
            <w:tcMar>
              <w:top w:type="dxa" w:w="60"/>
              <w:left w:type="dxa" w:w="80"/>
              <w:bottom w:type="dxa" w:w="60"/>
              <w:right w:type="dxa" w:w="80"/>
            </w:tcMar>
            <w:vAlign w:val="center"/>
          </w:tcPr>
          <w:p>
            <w:r>
              <w:rPr>
                <w:b w:val="false"/>
                <w:bCs w:val="false"/>
                <w:sz w:val="17"/>
                <w:szCs w:val="17"/>
              </w:rPr>
              <w:t xml:space="preserve">El operador elige un marco candidato; el sistema crea la asignación y descuenta el marco del inventario disponible.</w:t>
            </w:r>
          </w:p>
        </w:tc>
        <w:tc>
          <w:tcPr>
            <w:tcW w:type="dxa" w:w="1900"/>
            <w:tcMar>
              <w:top w:type="dxa" w:w="60"/>
              <w:left w:type="dxa" w:w="80"/>
              <w:bottom w:type="dxa" w:w="60"/>
              <w:right w:type="dxa" w:w="80"/>
            </w:tcMar>
            <w:vAlign w:val="center"/>
          </w:tcPr>
          <w:p>
            <w:r>
              <w:rPr>
                <w:b w:val="false"/>
                <w:bCs w:val="false"/>
                <w:sz w:val="17"/>
                <w:szCs w:val="17"/>
              </w:rPr>
              <w:t xml:space="preserve">Asignación creada, marco en estado ASSIGNED.</w:t>
            </w:r>
          </w:p>
        </w:tc>
        <w:tc>
          <w:tcPr>
            <w:tcW w:type="dxa" w:w="700"/>
            <w:tcMar>
              <w:top w:type="dxa" w:w="60"/>
              <w:left w:type="dxa" w:w="80"/>
              <w:bottom w:type="dxa" w:w="60"/>
              <w:right w:type="dxa" w:w="80"/>
            </w:tcMar>
            <w:vAlign w:val="center"/>
          </w:tcPr>
          <w:p>
            <w:r>
              <w:rPr>
                <w:b w:val="false"/>
                <w:bCs w:val="false"/>
                <w:sz w:val="17"/>
                <w:szCs w:val="17"/>
              </w:rPr>
              <w:t xml:space="preserve">RF-15</w:t>
            </w:r>
          </w:p>
        </w:tc>
      </w:tr>
      <w:tr>
        <w:tc>
          <w:tcPr>
            <w:tcW w:type="dxa" w:w="700"/>
            <w:tcMar>
              <w:top w:type="dxa" w:w="60"/>
              <w:left w:type="dxa" w:w="80"/>
              <w:bottom w:type="dxa" w:w="60"/>
              <w:right w:type="dxa" w:w="80"/>
            </w:tcMar>
            <w:vAlign w:val="center"/>
          </w:tcPr>
          <w:p>
            <w:r>
              <w:rPr>
                <w:b w:val="false"/>
                <w:bCs w:val="false"/>
                <w:sz w:val="17"/>
                <w:szCs w:val="17"/>
              </w:rPr>
              <w:t xml:space="preserve">UC-16</w:t>
            </w:r>
          </w:p>
        </w:tc>
        <w:tc>
          <w:tcPr>
            <w:tcW w:type="dxa" w:w="1900"/>
            <w:tcMar>
              <w:top w:type="dxa" w:w="60"/>
              <w:left w:type="dxa" w:w="80"/>
              <w:bottom w:type="dxa" w:w="60"/>
              <w:right w:type="dxa" w:w="80"/>
            </w:tcMar>
            <w:vAlign w:val="center"/>
          </w:tcPr>
          <w:p>
            <w:r>
              <w:rPr>
                <w:b w:val="false"/>
                <w:bCs w:val="false"/>
                <w:sz w:val="17"/>
                <w:szCs w:val="17"/>
              </w:rPr>
              <w:t xml:space="preserve">Consultar trazabilidad</w:t>
            </w:r>
          </w:p>
        </w:tc>
        <w:tc>
          <w:tcPr>
            <w:tcW w:type="dxa" w:w="1600"/>
            <w:tcMar>
              <w:top w:type="dxa" w:w="60"/>
              <w:left w:type="dxa" w:w="80"/>
              <w:bottom w:type="dxa" w:w="60"/>
              <w:right w:type="dxa" w:w="80"/>
            </w:tcMar>
            <w:vAlign w:val="center"/>
          </w:tcPr>
          <w:p>
            <w:r>
              <w:rPr>
                <w:b w:val="false"/>
                <w:bCs w:val="false"/>
                <w:sz w:val="17"/>
                <w:szCs w:val="17"/>
              </w:rPr>
              <w:t xml:space="preserve">Operador, Beneficiario</w:t>
            </w:r>
          </w:p>
        </w:tc>
        <w:tc>
          <w:tcPr>
            <w:tcW w:type="dxa" w:w="1700"/>
            <w:tcMar>
              <w:top w:type="dxa" w:w="60"/>
              <w:left w:type="dxa" w:w="80"/>
              <w:bottom w:type="dxa" w:w="60"/>
              <w:right w:type="dxa" w:w="80"/>
            </w:tcMar>
            <w:vAlign w:val="center"/>
          </w:tcPr>
          <w:p>
            <w:r>
              <w:rPr>
                <w:b w:val="false"/>
                <w:bCs w:val="false"/>
                <w:sz w:val="17"/>
                <w:szCs w:val="17"/>
              </w:rPr>
              <w:t xml:space="preserve">Asignación creada (UC-15).</w:t>
            </w:r>
          </w:p>
        </w:tc>
        <w:tc>
          <w:tcPr>
            <w:tcW w:type="dxa" w:w="2600"/>
            <w:tcMar>
              <w:top w:type="dxa" w:w="60"/>
              <w:left w:type="dxa" w:w="80"/>
              <w:bottom w:type="dxa" w:w="60"/>
              <w:right w:type="dxa" w:w="80"/>
            </w:tcMar>
            <w:vAlign w:val="center"/>
          </w:tcPr>
          <w:p>
            <w:r>
              <w:rPr>
                <w:b w:val="false"/>
                <w:bCs w:val="false"/>
                <w:sz w:val="17"/>
                <w:szCs w:val="17"/>
              </w:rPr>
              <w:t xml:space="preserve">Se consulta el historial de la asignación (envío a óptica, retorno, entrega) por asignación o por marco.</w:t>
            </w:r>
          </w:p>
        </w:tc>
        <w:tc>
          <w:tcPr>
            <w:tcW w:type="dxa" w:w="1900"/>
            <w:tcMar>
              <w:top w:type="dxa" w:w="60"/>
              <w:left w:type="dxa" w:w="80"/>
              <w:bottom w:type="dxa" w:w="60"/>
              <w:right w:type="dxa" w:w="80"/>
            </w:tcMar>
            <w:vAlign w:val="center"/>
          </w:tcPr>
          <w:p>
            <w:r>
              <w:rPr>
                <w:b w:val="false"/>
                <w:bCs w:val="false"/>
                <w:sz w:val="17"/>
                <w:szCs w:val="17"/>
              </w:rPr>
              <w:t xml:space="preserve">Historial mostrado.</w:t>
            </w:r>
          </w:p>
        </w:tc>
        <w:tc>
          <w:tcPr>
            <w:tcW w:type="dxa" w:w="700"/>
            <w:tcMar>
              <w:top w:type="dxa" w:w="60"/>
              <w:left w:type="dxa" w:w="80"/>
              <w:bottom w:type="dxa" w:w="60"/>
              <w:right w:type="dxa" w:w="80"/>
            </w:tcMar>
            <w:vAlign w:val="center"/>
          </w:tcPr>
          <w:p>
            <w:r>
              <w:rPr>
                <w:b w:val="false"/>
                <w:bCs w:val="false"/>
                <w:sz w:val="17"/>
                <w:szCs w:val="17"/>
              </w:rPr>
              <w:t xml:space="preserve">RF-16</w:t>
            </w:r>
          </w:p>
        </w:tc>
      </w:tr>
    </w:tbl>
    <w:p>
      <w:pPr>
        <w:pStyle w:val="Heading1"/>
        <w:spacing w:after="200" w:before="400"/>
      </w:pPr>
      <w:r>
        <w:t xml:space="preserve">6. Módulo 4 — Probador Virtual</w:t>
      </w:r>
    </w:p>
    <w:p>
      <w:pPr>
        <w:spacing w:after="200"/>
        <w:jc w:val="center"/>
      </w:pPr>
      <w:r>
        <w:drawing>
          <wp:inline distT="0" distB="0" distL="0" distR="0">
            <wp:extent cx="5943600" cy="21050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15" cstate="none"/>
                    <a:srcRect/>
                    <a:stretch>
                      <a:fillRect/>
                    </a:stretch>
                  </pic:blipFill>
                  <pic:spPr bwMode="auto">
                    <a:xfrm>
                      <a:off x="0" y="0"/>
                      <a:ext cx="5943600" cy="21050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UC-17</w:t>
            </w:r>
          </w:p>
        </w:tc>
        <w:tc>
          <w:tcPr>
            <w:tcW w:type="dxa" w:w="1900"/>
            <w:tcMar>
              <w:top w:type="dxa" w:w="60"/>
              <w:left w:type="dxa" w:w="80"/>
              <w:bottom w:type="dxa" w:w="60"/>
              <w:right w:type="dxa" w:w="80"/>
            </w:tcMar>
            <w:vAlign w:val="center"/>
          </w:tcPr>
          <w:p>
            <w:r>
              <w:rPr>
                <w:b w:val="false"/>
                <w:bCs w:val="false"/>
                <w:sz w:val="17"/>
                <w:szCs w:val="17"/>
              </w:rPr>
              <w:t xml:space="preserve">Detectar rostro</w:t>
            </w:r>
          </w:p>
        </w:tc>
        <w:tc>
          <w:tcPr>
            <w:tcW w:type="dxa" w:w="1600"/>
            <w:tcMar>
              <w:top w:type="dxa" w:w="60"/>
              <w:left w:type="dxa" w:w="80"/>
              <w:bottom w:type="dxa" w:w="60"/>
              <w:right w:type="dxa" w:w="80"/>
            </w:tcMar>
            <w:vAlign w:val="center"/>
          </w:tcPr>
          <w:p>
            <w:r>
              <w:rPr>
                <w:b w:val="false"/>
                <w:bCs w:val="false"/>
                <w:sz w:val="17"/>
                <w:szCs w:val="17"/>
              </w:rPr>
              <w:t xml:space="preserve">Beneficiario, Operador</w:t>
            </w:r>
          </w:p>
        </w:tc>
        <w:tc>
          <w:tcPr>
            <w:tcW w:type="dxa" w:w="1700"/>
            <w:tcMar>
              <w:top w:type="dxa" w:w="60"/>
              <w:left w:type="dxa" w:w="80"/>
              <w:bottom w:type="dxa" w:w="60"/>
              <w:right w:type="dxa" w:w="80"/>
            </w:tcMar>
            <w:vAlign w:val="center"/>
          </w:tcPr>
          <w:p>
            <w:r>
              <w:rPr>
                <w:b w:val="false"/>
                <w:bCs w:val="false"/>
                <w:sz w:val="17"/>
                <w:szCs w:val="17"/>
              </w:rPr>
              <w:t xml:space="preserve">Foto estática disponible (cámara o archivo).</w:t>
            </w:r>
          </w:p>
        </w:tc>
        <w:tc>
          <w:tcPr>
            <w:tcW w:type="dxa" w:w="2600"/>
            <w:tcMar>
              <w:top w:type="dxa" w:w="60"/>
              <w:left w:type="dxa" w:w="80"/>
              <w:bottom w:type="dxa" w:w="60"/>
              <w:right w:type="dxa" w:w="80"/>
            </w:tcMar>
            <w:vAlign w:val="center"/>
          </w:tcPr>
          <w:p>
            <w:r>
              <w:rPr>
                <w:b w:val="false"/>
                <w:bCs w:val="false"/>
                <w:sz w:val="17"/>
                <w:szCs w:val="17"/>
              </w:rPr>
              <w:t xml:space="preserve">MediaPipe Face Mesh procesa la foto en el navegador y obtiene los landmarks faciales.</w:t>
            </w:r>
          </w:p>
        </w:tc>
        <w:tc>
          <w:tcPr>
            <w:tcW w:type="dxa" w:w="1900"/>
            <w:tcMar>
              <w:top w:type="dxa" w:w="60"/>
              <w:left w:type="dxa" w:w="80"/>
              <w:bottom w:type="dxa" w:w="60"/>
              <w:right w:type="dxa" w:w="80"/>
            </w:tcMar>
            <w:vAlign w:val="center"/>
          </w:tcPr>
          <w:p>
            <w:r>
              <w:rPr>
                <w:b w:val="false"/>
                <w:bCs w:val="false"/>
                <w:sz w:val="17"/>
                <w:szCs w:val="17"/>
              </w:rPr>
              <w:t xml:space="preserve">Landmarks calculados, o estado "no disponible" si falla.</w:t>
            </w:r>
          </w:p>
        </w:tc>
        <w:tc>
          <w:tcPr>
            <w:tcW w:type="dxa" w:w="700"/>
            <w:tcMar>
              <w:top w:type="dxa" w:w="60"/>
              <w:left w:type="dxa" w:w="80"/>
              <w:bottom w:type="dxa" w:w="60"/>
              <w:right w:type="dxa" w:w="80"/>
            </w:tcMar>
            <w:vAlign w:val="center"/>
          </w:tcPr>
          <w:p>
            <w:r>
              <w:rPr>
                <w:b w:val="false"/>
                <w:bCs w:val="false"/>
                <w:sz w:val="17"/>
                <w:szCs w:val="17"/>
              </w:rPr>
              <w:t xml:space="preserve">RF-17</w:t>
            </w:r>
          </w:p>
        </w:tc>
      </w:tr>
      <w:tr>
        <w:tc>
          <w:tcPr>
            <w:tcW w:type="dxa" w:w="700"/>
            <w:tcMar>
              <w:top w:type="dxa" w:w="60"/>
              <w:left w:type="dxa" w:w="80"/>
              <w:bottom w:type="dxa" w:w="60"/>
              <w:right w:type="dxa" w:w="80"/>
            </w:tcMar>
            <w:vAlign w:val="center"/>
          </w:tcPr>
          <w:p>
            <w:r>
              <w:rPr>
                <w:b w:val="false"/>
                <w:bCs w:val="false"/>
                <w:sz w:val="17"/>
                <w:szCs w:val="17"/>
              </w:rPr>
              <w:t xml:space="preserve">UC-18</w:t>
            </w:r>
          </w:p>
        </w:tc>
        <w:tc>
          <w:tcPr>
            <w:tcW w:type="dxa" w:w="1900"/>
            <w:tcMar>
              <w:top w:type="dxa" w:w="60"/>
              <w:left w:type="dxa" w:w="80"/>
              <w:bottom w:type="dxa" w:w="60"/>
              <w:right w:type="dxa" w:w="80"/>
            </w:tcMar>
            <w:vAlign w:val="center"/>
          </w:tcPr>
          <w:p>
            <w:r>
              <w:rPr>
                <w:b w:val="false"/>
                <w:bCs w:val="false"/>
                <w:sz w:val="17"/>
                <w:szCs w:val="17"/>
              </w:rPr>
              <w:t xml:space="preserve">Superponer marco (2D)</w:t>
            </w:r>
          </w:p>
        </w:tc>
        <w:tc>
          <w:tcPr>
            <w:tcW w:type="dxa" w:w="1600"/>
            <w:tcMar>
              <w:top w:type="dxa" w:w="60"/>
              <w:left w:type="dxa" w:w="80"/>
              <w:bottom w:type="dxa" w:w="60"/>
              <w:right w:type="dxa" w:w="80"/>
            </w:tcMar>
            <w:vAlign w:val="center"/>
          </w:tcPr>
          <w:p>
            <w:r>
              <w:rPr>
                <w:b w:val="false"/>
                <w:bCs w:val="false"/>
                <w:sz w:val="17"/>
                <w:szCs w:val="17"/>
              </w:rPr>
              <w:t xml:space="preserve">Beneficiario, Operador</w:t>
            </w:r>
          </w:p>
        </w:tc>
        <w:tc>
          <w:tcPr>
            <w:tcW w:type="dxa" w:w="1700"/>
            <w:tcMar>
              <w:top w:type="dxa" w:w="60"/>
              <w:left w:type="dxa" w:w="80"/>
              <w:bottom w:type="dxa" w:w="60"/>
              <w:right w:type="dxa" w:w="80"/>
            </w:tcMar>
            <w:vAlign w:val="center"/>
          </w:tcPr>
          <w:p>
            <w:r>
              <w:rPr>
                <w:b w:val="false"/>
                <w:bCs w:val="false"/>
                <w:sz w:val="17"/>
                <w:szCs w:val="17"/>
              </w:rPr>
              <w:t xml:space="preserve">Rostro detectado (UC-17).</w:t>
            </w:r>
          </w:p>
        </w:tc>
        <w:tc>
          <w:tcPr>
            <w:tcW w:type="dxa" w:w="2600"/>
            <w:tcMar>
              <w:top w:type="dxa" w:w="60"/>
              <w:left w:type="dxa" w:w="80"/>
              <w:bottom w:type="dxa" w:w="60"/>
              <w:right w:type="dxa" w:w="80"/>
            </w:tcMar>
            <w:vAlign w:val="center"/>
          </w:tcPr>
          <w:p>
            <w:r>
              <w:rPr>
                <w:b w:val="false"/>
                <w:bCs w:val="false"/>
                <w:sz w:val="17"/>
                <w:szCs w:val="17"/>
              </w:rPr>
              <w:t xml:space="preserve">El sistema posiciona y escala el marco elegido sobre la foto usando Canvas; permite ajuste manual de rotación/altura.</w:t>
            </w:r>
          </w:p>
        </w:tc>
        <w:tc>
          <w:tcPr>
            <w:tcW w:type="dxa" w:w="1900"/>
            <w:tcMar>
              <w:top w:type="dxa" w:w="60"/>
              <w:left w:type="dxa" w:w="80"/>
              <w:bottom w:type="dxa" w:w="60"/>
              <w:right w:type="dxa" w:w="80"/>
            </w:tcMar>
            <w:vAlign w:val="center"/>
          </w:tcPr>
          <w:p>
            <w:r>
              <w:rPr>
                <w:b w:val="false"/>
                <w:bCs w:val="false"/>
                <w:sz w:val="17"/>
                <w:szCs w:val="17"/>
              </w:rPr>
              <w:t xml:space="preserve">Previsualización renderizada.</w:t>
            </w:r>
          </w:p>
        </w:tc>
        <w:tc>
          <w:tcPr>
            <w:tcW w:type="dxa" w:w="700"/>
            <w:tcMar>
              <w:top w:type="dxa" w:w="60"/>
              <w:left w:type="dxa" w:w="80"/>
              <w:bottom w:type="dxa" w:w="60"/>
              <w:right w:type="dxa" w:w="80"/>
            </w:tcMar>
            <w:vAlign w:val="center"/>
          </w:tcPr>
          <w:p>
            <w:r>
              <w:rPr>
                <w:b w:val="false"/>
                <w:bCs w:val="false"/>
                <w:sz w:val="17"/>
                <w:szCs w:val="17"/>
              </w:rPr>
              <w:t xml:space="preserve">RF-18</w:t>
            </w:r>
          </w:p>
        </w:tc>
      </w:tr>
      <w:tr>
        <w:tc>
          <w:tcPr>
            <w:tcW w:type="dxa" w:w="700"/>
            <w:tcMar>
              <w:top w:type="dxa" w:w="60"/>
              <w:left w:type="dxa" w:w="80"/>
              <w:bottom w:type="dxa" w:w="60"/>
              <w:right w:type="dxa" w:w="80"/>
            </w:tcMar>
            <w:vAlign w:val="center"/>
          </w:tcPr>
          <w:p>
            <w:r>
              <w:rPr>
                <w:b w:val="false"/>
                <w:bCs w:val="false"/>
                <w:sz w:val="17"/>
                <w:szCs w:val="17"/>
              </w:rPr>
              <w:t xml:space="preserve">UC-19</w:t>
            </w:r>
          </w:p>
        </w:tc>
        <w:tc>
          <w:tcPr>
            <w:tcW w:type="dxa" w:w="1900"/>
            <w:tcMar>
              <w:top w:type="dxa" w:w="60"/>
              <w:left w:type="dxa" w:w="80"/>
              <w:bottom w:type="dxa" w:w="60"/>
              <w:right w:type="dxa" w:w="80"/>
            </w:tcMar>
            <w:vAlign w:val="center"/>
          </w:tcPr>
          <w:p>
            <w:r>
              <w:rPr>
                <w:b w:val="false"/>
                <w:bCs w:val="false"/>
                <w:sz w:val="17"/>
                <w:szCs w:val="17"/>
              </w:rPr>
              <w:t xml:space="preserve">Seleccionar marco a probar</w:t>
            </w:r>
          </w:p>
        </w:tc>
        <w:tc>
          <w:tcPr>
            <w:tcW w:type="dxa" w:w="1600"/>
            <w:tcMar>
              <w:top w:type="dxa" w:w="60"/>
              <w:left w:type="dxa" w:w="80"/>
              <w:bottom w:type="dxa" w:w="60"/>
              <w:right w:type="dxa" w:w="80"/>
            </w:tcMar>
            <w:vAlign w:val="center"/>
          </w:tcPr>
          <w:p>
            <w:r>
              <w:rPr>
                <w:b w:val="false"/>
                <w:bCs w:val="false"/>
                <w:sz w:val="17"/>
                <w:szCs w:val="17"/>
              </w:rPr>
              <w:t xml:space="preserve">Beneficiario, Operador</w:t>
            </w:r>
          </w:p>
        </w:tc>
        <w:tc>
          <w:tcPr>
            <w:tcW w:type="dxa" w:w="1700"/>
            <w:tcMar>
              <w:top w:type="dxa" w:w="60"/>
              <w:left w:type="dxa" w:w="80"/>
              <w:bottom w:type="dxa" w:w="60"/>
              <w:right w:type="dxa" w:w="80"/>
            </w:tcMar>
            <w:vAlign w:val="center"/>
          </w:tcPr>
          <w:p>
            <w:r>
              <w:rPr>
                <w:b w:val="false"/>
                <w:bCs w:val="false"/>
                <w:sz w:val="17"/>
                <w:szCs w:val="17"/>
              </w:rPr>
              <w:t xml:space="preserve">Superposición activa (UC-18).</w:t>
            </w:r>
          </w:p>
        </w:tc>
        <w:tc>
          <w:tcPr>
            <w:tcW w:type="dxa" w:w="2600"/>
            <w:tcMar>
              <w:top w:type="dxa" w:w="60"/>
              <w:left w:type="dxa" w:w="80"/>
              <w:bottom w:type="dxa" w:w="60"/>
              <w:right w:type="dxa" w:w="80"/>
            </w:tcMar>
            <w:vAlign w:val="center"/>
          </w:tcPr>
          <w:p>
            <w:r>
              <w:rPr>
                <w:b w:val="false"/>
                <w:bCs w:val="false"/>
                <w:sz w:val="17"/>
                <w:szCs w:val="17"/>
              </w:rPr>
              <w:t xml:space="preserve">El usuario elige otro marco del inventario/catálogo disponible.</w:t>
            </w:r>
          </w:p>
        </w:tc>
        <w:tc>
          <w:tcPr>
            <w:tcW w:type="dxa" w:w="1900"/>
            <w:tcMar>
              <w:top w:type="dxa" w:w="60"/>
              <w:left w:type="dxa" w:w="80"/>
              <w:bottom w:type="dxa" w:w="60"/>
              <w:right w:type="dxa" w:w="80"/>
            </w:tcMar>
            <w:vAlign w:val="center"/>
          </w:tcPr>
          <w:p>
            <w:r>
              <w:rPr>
                <w:b w:val="false"/>
                <w:bCs w:val="false"/>
                <w:sz w:val="17"/>
                <w:szCs w:val="17"/>
              </w:rPr>
              <w:t xml:space="preserve">Previsualización recalculada para el nuevo marco.</w:t>
            </w:r>
          </w:p>
        </w:tc>
        <w:tc>
          <w:tcPr>
            <w:tcW w:type="dxa" w:w="700"/>
            <w:tcMar>
              <w:top w:type="dxa" w:w="60"/>
              <w:left w:type="dxa" w:w="80"/>
              <w:bottom w:type="dxa" w:w="60"/>
              <w:right w:type="dxa" w:w="80"/>
            </w:tcMar>
            <w:vAlign w:val="center"/>
          </w:tcPr>
          <w:p>
            <w:r>
              <w:rPr>
                <w:b w:val="false"/>
                <w:bCs w:val="false"/>
                <w:sz w:val="17"/>
                <w:szCs w:val="17"/>
              </w:rPr>
              <w:t xml:space="preserve">RF-19</w:t>
            </w:r>
          </w:p>
        </w:tc>
      </w:tr>
    </w:tbl>
    <w:p>
      <w:pPr>
        <w:pStyle w:val="Heading1"/>
        <w:spacing w:after="200" w:before="400"/>
      </w:pPr>
      <w:r>
        <w:t xml:space="preserve">7. Módulo 5 — Turnos y Notificaciones</w:t>
      </w:r>
    </w:p>
    <w:p>
      <w:pPr>
        <w:spacing w:after="200"/>
        <w:jc w:val="center"/>
      </w:pPr>
      <w:r>
        <w:drawing>
          <wp:inline distT="0" distB="0" distL="0" distR="0">
            <wp:extent cx="5943600" cy="26098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16" cstate="none"/>
                    <a:srcRect/>
                    <a:stretch>
                      <a:fillRect/>
                    </a:stretch>
                  </pic:blipFill>
                  <pic:spPr bwMode="auto">
                    <a:xfrm>
                      <a:off x="0" y="0"/>
                      <a:ext cx="5943600" cy="26098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UC-20</w:t>
            </w:r>
          </w:p>
        </w:tc>
        <w:tc>
          <w:tcPr>
            <w:tcW w:type="dxa" w:w="1900"/>
            <w:tcMar>
              <w:top w:type="dxa" w:w="60"/>
              <w:left w:type="dxa" w:w="80"/>
              <w:bottom w:type="dxa" w:w="60"/>
              <w:right w:type="dxa" w:w="80"/>
            </w:tcMar>
            <w:vAlign w:val="center"/>
          </w:tcPr>
          <w:p>
            <w:r>
              <w:rPr>
                <w:b w:val="false"/>
                <w:bCs w:val="false"/>
                <w:sz w:val="17"/>
                <w:szCs w:val="17"/>
              </w:rPr>
              <w:t xml:space="preserve">Registrar turno</w:t>
            </w:r>
          </w:p>
        </w:tc>
        <w:tc>
          <w:tcPr>
            <w:tcW w:type="dxa" w:w="1600"/>
            <w:tcMar>
              <w:top w:type="dxa" w:w="60"/>
              <w:left w:type="dxa" w:w="80"/>
              <w:bottom w:type="dxa" w:w="60"/>
              <w:right w:type="dxa" w:w="80"/>
            </w:tcMar>
            <w:vAlign w:val="center"/>
          </w:tcPr>
          <w:p>
            <w:r>
              <w:rPr>
                <w:b w:val="false"/>
                <w:bCs w:val="false"/>
                <w:sz w:val="17"/>
                <w:szCs w:val="17"/>
              </w:rPr>
              <w:t xml:space="preserve">Operador, Beneficiario</w:t>
            </w:r>
          </w:p>
        </w:tc>
        <w:tc>
          <w:tcPr>
            <w:tcW w:type="dxa" w:w="1700"/>
            <w:tcMar>
              <w:top w:type="dxa" w:w="60"/>
              <w:left w:type="dxa" w:w="80"/>
              <w:bottom w:type="dxa" w:w="60"/>
              <w:right w:type="dxa" w:w="80"/>
            </w:tcMar>
            <w:vAlign w:val="center"/>
          </w:tcPr>
          <w:p>
            <w:r>
              <w:rPr>
                <w:b w:val="false"/>
                <w:bCs w:val="false"/>
                <w:sz w:val="17"/>
                <w:szCs w:val="17"/>
              </w:rPr>
              <w:t xml:space="preserve">Solicitante existente.</w:t>
            </w:r>
          </w:p>
        </w:tc>
        <w:tc>
          <w:tcPr>
            <w:tcW w:type="dxa" w:w="2600"/>
            <w:tcMar>
              <w:top w:type="dxa" w:w="60"/>
              <w:left w:type="dxa" w:w="80"/>
              <w:bottom w:type="dxa" w:w="60"/>
              <w:right w:type="dxa" w:w="80"/>
            </w:tcMar>
            <w:vAlign w:val="center"/>
          </w:tcPr>
          <w:p>
            <w:r>
              <w:rPr>
                <w:b w:val="false"/>
                <w:bCs w:val="false"/>
                <w:sz w:val="17"/>
                <w:szCs w:val="17"/>
              </w:rPr>
              <w:t xml:space="preserve">Se elige fecha/hora disponible; si lo crea el beneficiario por autogestión, el turno nace PENDING_PAYMENT.</w:t>
            </w:r>
          </w:p>
        </w:tc>
        <w:tc>
          <w:tcPr>
            <w:tcW w:type="dxa" w:w="1900"/>
            <w:tcMar>
              <w:top w:type="dxa" w:w="60"/>
              <w:left w:type="dxa" w:w="80"/>
              <w:bottom w:type="dxa" w:w="60"/>
              <w:right w:type="dxa" w:w="80"/>
            </w:tcMar>
            <w:vAlign w:val="center"/>
          </w:tcPr>
          <w:p>
            <w:r>
              <w:rPr>
                <w:b w:val="false"/>
                <w:bCs w:val="false"/>
                <w:sz w:val="17"/>
                <w:szCs w:val="17"/>
              </w:rPr>
              <w:t xml:space="preserve">Turno creado.</w:t>
            </w:r>
          </w:p>
        </w:tc>
        <w:tc>
          <w:tcPr>
            <w:tcW w:type="dxa" w:w="700"/>
            <w:tcMar>
              <w:top w:type="dxa" w:w="60"/>
              <w:left w:type="dxa" w:w="80"/>
              <w:bottom w:type="dxa" w:w="60"/>
              <w:right w:type="dxa" w:w="80"/>
            </w:tcMar>
            <w:vAlign w:val="center"/>
          </w:tcPr>
          <w:p>
            <w:r>
              <w:rPr>
                <w:b w:val="false"/>
                <w:bCs w:val="false"/>
                <w:sz w:val="17"/>
                <w:szCs w:val="17"/>
              </w:rPr>
              <w:t xml:space="preserve">RF-20</w:t>
            </w:r>
          </w:p>
        </w:tc>
      </w:tr>
      <w:tr>
        <w:tc>
          <w:tcPr>
            <w:tcW w:type="dxa" w:w="700"/>
            <w:tcMar>
              <w:top w:type="dxa" w:w="60"/>
              <w:left w:type="dxa" w:w="80"/>
              <w:bottom w:type="dxa" w:w="60"/>
              <w:right w:type="dxa" w:w="80"/>
            </w:tcMar>
            <w:vAlign w:val="center"/>
          </w:tcPr>
          <w:p>
            <w:r>
              <w:rPr>
                <w:b w:val="false"/>
                <w:bCs w:val="false"/>
                <w:sz w:val="17"/>
                <w:szCs w:val="17"/>
              </w:rPr>
              <w:t xml:space="preserve">UC-20b</w:t>
            </w:r>
          </w:p>
        </w:tc>
        <w:tc>
          <w:tcPr>
            <w:tcW w:type="dxa" w:w="1900"/>
            <w:tcMar>
              <w:top w:type="dxa" w:w="60"/>
              <w:left w:type="dxa" w:w="80"/>
              <w:bottom w:type="dxa" w:w="60"/>
              <w:right w:type="dxa" w:w="80"/>
            </w:tcMar>
            <w:vAlign w:val="center"/>
          </w:tcPr>
          <w:p>
            <w:r>
              <w:rPr>
                <w:b w:val="false"/>
                <w:bCs w:val="false"/>
                <w:sz w:val="17"/>
                <w:szCs w:val="17"/>
              </w:rPr>
              <w:t xml:space="preserve">Cargar comprobante de bono contribución</w:t>
            </w:r>
          </w:p>
        </w:tc>
        <w:tc>
          <w:tcPr>
            <w:tcW w:type="dxa" w:w="1600"/>
            <w:tcMar>
              <w:top w:type="dxa" w:w="60"/>
              <w:left w:type="dxa" w:w="80"/>
              <w:bottom w:type="dxa" w:w="60"/>
              <w:right w:type="dxa" w:w="80"/>
            </w:tcMar>
            <w:vAlign w:val="center"/>
          </w:tcPr>
          <w:p>
            <w:r>
              <w:rPr>
                <w:b w:val="false"/>
                <w:bCs w:val="false"/>
                <w:sz w:val="17"/>
                <w:szCs w:val="17"/>
              </w:rPr>
              <w:t xml:space="preserve">Beneficiario</w:t>
            </w:r>
          </w:p>
        </w:tc>
        <w:tc>
          <w:tcPr>
            <w:tcW w:type="dxa" w:w="1700"/>
            <w:tcMar>
              <w:top w:type="dxa" w:w="60"/>
              <w:left w:type="dxa" w:w="80"/>
              <w:bottom w:type="dxa" w:w="60"/>
              <w:right w:type="dxa" w:w="80"/>
            </w:tcMar>
            <w:vAlign w:val="center"/>
          </w:tcPr>
          <w:p>
            <w:r>
              <w:rPr>
                <w:b w:val="false"/>
                <w:bCs w:val="false"/>
                <w:sz w:val="17"/>
                <w:szCs w:val="17"/>
              </w:rPr>
              <w:t xml:space="preserve">Turno PENDING_PAYMENT (UC-20).</w:t>
            </w:r>
          </w:p>
        </w:tc>
        <w:tc>
          <w:tcPr>
            <w:tcW w:type="dxa" w:w="2600"/>
            <w:tcMar>
              <w:top w:type="dxa" w:w="60"/>
              <w:left w:type="dxa" w:w="80"/>
              <w:bottom w:type="dxa" w:w="60"/>
              <w:right w:type="dxa" w:w="80"/>
            </w:tcMar>
            <w:vAlign w:val="center"/>
          </w:tcPr>
          <w:p>
            <w:r>
              <w:rPr>
                <w:b w:val="false"/>
                <w:bCs w:val="false"/>
                <w:sz w:val="17"/>
                <w:szCs w:val="17"/>
              </w:rPr>
              <w:t xml:space="preserve">El beneficiario sube el comprobante de la transferencia.</w:t>
            </w:r>
          </w:p>
        </w:tc>
        <w:tc>
          <w:tcPr>
            <w:tcW w:type="dxa" w:w="1900"/>
            <w:tcMar>
              <w:top w:type="dxa" w:w="60"/>
              <w:left w:type="dxa" w:w="80"/>
              <w:bottom w:type="dxa" w:w="60"/>
              <w:right w:type="dxa" w:w="80"/>
            </w:tcMar>
            <w:vAlign w:val="center"/>
          </w:tcPr>
          <w:p>
            <w:r>
              <w:rPr>
                <w:b w:val="false"/>
                <w:bCs w:val="false"/>
                <w:sz w:val="17"/>
                <w:szCs w:val="17"/>
              </w:rPr>
              <w:t xml:space="preserve">Turno pasa a SCHEDULED, dispara notificación (UC-22).</w:t>
            </w:r>
          </w:p>
        </w:tc>
        <w:tc>
          <w:tcPr>
            <w:tcW w:type="dxa" w:w="700"/>
            <w:tcMar>
              <w:top w:type="dxa" w:w="60"/>
              <w:left w:type="dxa" w:w="80"/>
              <w:bottom w:type="dxa" w:w="60"/>
              <w:right w:type="dxa" w:w="80"/>
            </w:tcMar>
            <w:vAlign w:val="center"/>
          </w:tcPr>
          <w:p>
            <w:r>
              <w:rPr>
                <w:b w:val="false"/>
                <w:bCs w:val="false"/>
                <w:sz w:val="17"/>
                <w:szCs w:val="17"/>
              </w:rPr>
              <w:t xml:space="preserve">RF-20</w:t>
            </w:r>
          </w:p>
        </w:tc>
      </w:tr>
      <w:tr>
        <w:tc>
          <w:tcPr>
            <w:tcW w:type="dxa" w:w="700"/>
            <w:tcMar>
              <w:top w:type="dxa" w:w="60"/>
              <w:left w:type="dxa" w:w="80"/>
              <w:bottom w:type="dxa" w:w="60"/>
              <w:right w:type="dxa" w:w="80"/>
            </w:tcMar>
            <w:vAlign w:val="center"/>
          </w:tcPr>
          <w:p>
            <w:r>
              <w:rPr>
                <w:b w:val="false"/>
                <w:bCs w:val="false"/>
                <w:sz w:val="17"/>
                <w:szCs w:val="17"/>
              </w:rPr>
              <w:t xml:space="preserve">UC-21</w:t>
            </w:r>
          </w:p>
        </w:tc>
        <w:tc>
          <w:tcPr>
            <w:tcW w:type="dxa" w:w="1900"/>
            <w:tcMar>
              <w:top w:type="dxa" w:w="60"/>
              <w:left w:type="dxa" w:w="80"/>
              <w:bottom w:type="dxa" w:w="60"/>
              <w:right w:type="dxa" w:w="80"/>
            </w:tcMar>
            <w:vAlign w:val="center"/>
          </w:tcPr>
          <w:p>
            <w:r>
              <w:rPr>
                <w:b w:val="false"/>
                <w:bCs w:val="false"/>
                <w:sz w:val="17"/>
                <w:szCs w:val="17"/>
              </w:rPr>
              <w:t xml:space="preserve">Reprogramar o cancelar turno</w:t>
            </w:r>
          </w:p>
        </w:tc>
        <w:tc>
          <w:tcPr>
            <w:tcW w:type="dxa" w:w="1600"/>
            <w:tcMar>
              <w:top w:type="dxa" w:w="60"/>
              <w:left w:type="dxa" w:w="80"/>
              <w:bottom w:type="dxa" w:w="60"/>
              <w:right w:type="dxa" w:w="80"/>
            </w:tcMar>
            <w:vAlign w:val="center"/>
          </w:tcPr>
          <w:p>
            <w:r>
              <w:rPr>
                <w:b w:val="false"/>
                <w:bCs w:val="false"/>
                <w:sz w:val="17"/>
                <w:szCs w:val="17"/>
              </w:rPr>
              <w:t xml:space="preserve">Operador, Beneficiario</w:t>
            </w:r>
          </w:p>
        </w:tc>
        <w:tc>
          <w:tcPr>
            <w:tcW w:type="dxa" w:w="1700"/>
            <w:tcMar>
              <w:top w:type="dxa" w:w="60"/>
              <w:left w:type="dxa" w:w="80"/>
              <w:bottom w:type="dxa" w:w="60"/>
              <w:right w:type="dxa" w:w="80"/>
            </w:tcMar>
            <w:vAlign w:val="center"/>
          </w:tcPr>
          <w:p>
            <w:r>
              <w:rPr>
                <w:b w:val="false"/>
                <w:bCs w:val="false"/>
                <w:sz w:val="17"/>
                <w:szCs w:val="17"/>
              </w:rPr>
              <w:t xml:space="preserve">Turno existente; pertenencia validada.</w:t>
            </w:r>
          </w:p>
        </w:tc>
        <w:tc>
          <w:tcPr>
            <w:tcW w:type="dxa" w:w="2600"/>
            <w:tcMar>
              <w:top w:type="dxa" w:w="60"/>
              <w:left w:type="dxa" w:w="80"/>
              <w:bottom w:type="dxa" w:w="60"/>
              <w:right w:type="dxa" w:w="80"/>
            </w:tcMar>
            <w:vAlign w:val="center"/>
          </w:tcPr>
          <w:p>
            <w:r>
              <w:rPr>
                <w:b w:val="false"/>
                <w:bCs w:val="false"/>
                <w:sz w:val="17"/>
                <w:szCs w:val="17"/>
              </w:rPr>
              <w:t xml:space="preserve">Se cambia la fecha/hora, o se cancela con motivo.</w:t>
            </w:r>
          </w:p>
        </w:tc>
        <w:tc>
          <w:tcPr>
            <w:tcW w:type="dxa" w:w="1900"/>
            <w:tcMar>
              <w:top w:type="dxa" w:w="60"/>
              <w:left w:type="dxa" w:w="80"/>
              <w:bottom w:type="dxa" w:w="60"/>
              <w:right w:type="dxa" w:w="80"/>
            </w:tcMar>
            <w:vAlign w:val="center"/>
          </w:tcPr>
          <w:p>
            <w:r>
              <w:rPr>
                <w:b w:val="false"/>
                <w:bCs w:val="false"/>
                <w:sz w:val="17"/>
                <w:szCs w:val="17"/>
              </w:rPr>
              <w:t xml:space="preserve">Turno actualizado (SCHEDULED con nueva fecha, o CANCELLED).</w:t>
            </w:r>
          </w:p>
        </w:tc>
        <w:tc>
          <w:tcPr>
            <w:tcW w:type="dxa" w:w="700"/>
            <w:tcMar>
              <w:top w:type="dxa" w:w="60"/>
              <w:left w:type="dxa" w:w="80"/>
              <w:bottom w:type="dxa" w:w="60"/>
              <w:right w:type="dxa" w:w="80"/>
            </w:tcMar>
            <w:vAlign w:val="center"/>
          </w:tcPr>
          <w:p>
            <w:r>
              <w:rPr>
                <w:b w:val="false"/>
                <w:bCs w:val="false"/>
                <w:sz w:val="17"/>
                <w:szCs w:val="17"/>
              </w:rPr>
              <w:t xml:space="preserve">RF-21</w:t>
            </w:r>
          </w:p>
        </w:tc>
      </w:tr>
      <w:tr>
        <w:tc>
          <w:tcPr>
            <w:tcW w:type="dxa" w:w="700"/>
            <w:tcMar>
              <w:top w:type="dxa" w:w="60"/>
              <w:left w:type="dxa" w:w="80"/>
              <w:bottom w:type="dxa" w:w="60"/>
              <w:right w:type="dxa" w:w="80"/>
            </w:tcMar>
            <w:vAlign w:val="center"/>
          </w:tcPr>
          <w:p>
            <w:r>
              <w:rPr>
                <w:b w:val="false"/>
                <w:bCs w:val="false"/>
                <w:sz w:val="17"/>
                <w:szCs w:val="17"/>
              </w:rPr>
              <w:t xml:space="preserve">UC-22</w:t>
            </w:r>
          </w:p>
        </w:tc>
        <w:tc>
          <w:tcPr>
            <w:tcW w:type="dxa" w:w="1900"/>
            <w:tcMar>
              <w:top w:type="dxa" w:w="60"/>
              <w:left w:type="dxa" w:w="80"/>
              <w:bottom w:type="dxa" w:w="60"/>
              <w:right w:type="dxa" w:w="80"/>
            </w:tcMar>
            <w:vAlign w:val="center"/>
          </w:tcPr>
          <w:p>
            <w:r>
              <w:rPr>
                <w:b w:val="false"/>
                <w:bCs w:val="false"/>
                <w:sz w:val="17"/>
                <w:szCs w:val="17"/>
              </w:rPr>
              <w:t xml:space="preserve">Notificar turno</w:t>
            </w:r>
          </w:p>
        </w:tc>
        <w:tc>
          <w:tcPr>
            <w:tcW w:type="dxa" w:w="1600"/>
            <w:tcMar>
              <w:top w:type="dxa" w:w="60"/>
              <w:left w:type="dxa" w:w="80"/>
              <w:bottom w:type="dxa" w:w="60"/>
              <w:right w:type="dxa" w:w="80"/>
            </w:tcMar>
            <w:vAlign w:val="center"/>
          </w:tcPr>
          <w:p>
            <w:r>
              <w:rPr>
                <w:b w:val="false"/>
                <w:bCs w:val="false"/>
                <w:sz w:val="17"/>
                <w:szCs w:val="17"/>
              </w:rPr>
              <w:t xml:space="preserve">Sistema (disparado por UC-20/UC-21)</w:t>
            </w:r>
          </w:p>
        </w:tc>
        <w:tc>
          <w:tcPr>
            <w:tcW w:type="dxa" w:w="1700"/>
            <w:tcMar>
              <w:top w:type="dxa" w:w="60"/>
              <w:left w:type="dxa" w:w="80"/>
              <w:bottom w:type="dxa" w:w="60"/>
              <w:right w:type="dxa" w:w="80"/>
            </w:tcMar>
            <w:vAlign w:val="center"/>
          </w:tcPr>
          <w:p>
            <w:r>
              <w:rPr>
                <w:b w:val="false"/>
                <w:bCs w:val="false"/>
                <w:sz w:val="17"/>
                <w:szCs w:val="17"/>
              </w:rPr>
              <w:t xml:space="preserve">Evento de turno ocurrido.</w:t>
            </w:r>
          </w:p>
        </w:tc>
        <w:tc>
          <w:tcPr>
            <w:tcW w:type="dxa" w:w="2600"/>
            <w:tcMar>
              <w:top w:type="dxa" w:w="60"/>
              <w:left w:type="dxa" w:w="80"/>
              <w:bottom w:type="dxa" w:w="60"/>
              <w:right w:type="dxa" w:w="80"/>
            </w:tcMar>
            <w:vAlign w:val="center"/>
          </w:tcPr>
          <w:p>
            <w:r>
              <w:rPr>
                <w:b w:val="false"/>
                <w:bCs w:val="false"/>
                <w:sz w:val="17"/>
                <w:szCs w:val="17"/>
              </w:rPr>
              <w:t xml:space="preserve">Se envía la notificación correspondiente; un fallo de envío no interrumpe el flujo principal.</w:t>
            </w:r>
          </w:p>
        </w:tc>
        <w:tc>
          <w:tcPr>
            <w:tcW w:type="dxa" w:w="1900"/>
            <w:tcMar>
              <w:top w:type="dxa" w:w="60"/>
              <w:left w:type="dxa" w:w="80"/>
              <w:bottom w:type="dxa" w:w="60"/>
              <w:right w:type="dxa" w:w="80"/>
            </w:tcMar>
            <w:vAlign w:val="center"/>
          </w:tcPr>
          <w:p>
            <w:r>
              <w:rPr>
                <w:b w:val="false"/>
                <w:bCs w:val="false"/>
                <w:sz w:val="17"/>
                <w:szCs w:val="17"/>
              </w:rPr>
              <w:t xml:space="preserve">Notificación entregada (best-effort).</w:t>
            </w:r>
          </w:p>
        </w:tc>
        <w:tc>
          <w:tcPr>
            <w:tcW w:type="dxa" w:w="700"/>
            <w:tcMar>
              <w:top w:type="dxa" w:w="60"/>
              <w:left w:type="dxa" w:w="80"/>
              <w:bottom w:type="dxa" w:w="60"/>
              <w:right w:type="dxa" w:w="80"/>
            </w:tcMar>
            <w:vAlign w:val="center"/>
          </w:tcPr>
          <w:p>
            <w:r>
              <w:rPr>
                <w:b w:val="false"/>
                <w:bCs w:val="false"/>
                <w:sz w:val="17"/>
                <w:szCs w:val="17"/>
              </w:rPr>
              <w:t xml:space="preserve">RF-22</w:t>
            </w:r>
          </w:p>
        </w:tc>
      </w:tr>
    </w:tbl>
    <w:p>
      <w:pPr>
        <w:pStyle w:val="Heading1"/>
        <w:spacing w:after="200" w:before="400"/>
      </w:pPr>
      <w:r>
        <w:t xml:space="preserve">8. Módulo 6 — Logística e Integración 17TRACK</w:t>
      </w:r>
    </w:p>
    <w:p>
      <w:pPr>
        <w:spacing w:after="200"/>
        <w:jc w:val="center"/>
      </w:pPr>
      <w:r>
        <w:drawing>
          <wp:inline distT="0" distB="0" distL="0" distR="0">
            <wp:extent cx="5943600" cy="21050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7" cstate="none"/>
                    <a:srcRect/>
                    <a:stretch>
                      <a:fillRect/>
                    </a:stretch>
                  </pic:blipFill>
                  <pic:spPr bwMode="auto">
                    <a:xfrm>
                      <a:off x="0" y="0"/>
                      <a:ext cx="5943600" cy="21050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UC-23</w:t>
            </w:r>
          </w:p>
        </w:tc>
        <w:tc>
          <w:tcPr>
            <w:tcW w:type="dxa" w:w="1900"/>
            <w:tcMar>
              <w:top w:type="dxa" w:w="60"/>
              <w:left w:type="dxa" w:w="80"/>
              <w:bottom w:type="dxa" w:w="60"/>
              <w:right w:type="dxa" w:w="80"/>
            </w:tcMar>
            <w:vAlign w:val="center"/>
          </w:tcPr>
          <w:p>
            <w:r>
              <w:rPr>
                <w:b w:val="false"/>
                <w:bCs w:val="false"/>
                <w:sz w:val="17"/>
                <w:szCs w:val="17"/>
              </w:rPr>
              <w:t xml:space="preserve">Registrar envío (17TRACK)</w:t>
            </w:r>
          </w:p>
        </w:tc>
        <w:tc>
          <w:tcPr>
            <w:tcW w:type="dxa" w:w="1600"/>
            <w:tcMar>
              <w:top w:type="dxa" w:w="60"/>
              <w:left w:type="dxa" w:w="80"/>
              <w:bottom w:type="dxa" w:w="60"/>
              <w:right w:type="dxa" w:w="80"/>
            </w:tcMar>
            <w:vAlign w:val="center"/>
          </w:tcPr>
          <w:p>
            <w:r>
              <w:rPr>
                <w:b w:val="false"/>
                <w:bCs w:val="false"/>
                <w:sz w:val="17"/>
                <w:szCs w:val="17"/>
              </w:rPr>
              <w:t xml:space="preserve">Operador, 17TRACK</w:t>
            </w:r>
          </w:p>
        </w:tc>
        <w:tc>
          <w:tcPr>
            <w:tcW w:type="dxa" w:w="1700"/>
            <w:tcMar>
              <w:top w:type="dxa" w:w="60"/>
              <w:left w:type="dxa" w:w="80"/>
              <w:bottom w:type="dxa" w:w="60"/>
              <w:right w:type="dxa" w:w="80"/>
            </w:tcMar>
            <w:vAlign w:val="center"/>
          </w:tcPr>
          <w:p>
            <w:r>
              <w:rPr>
                <w:b w:val="false"/>
                <w:bCs w:val="false"/>
                <w:sz w:val="17"/>
                <w:szCs w:val="17"/>
              </w:rPr>
              <w:t xml:space="preserve">Marco/lote a enviar entre sucursales.</w:t>
            </w:r>
          </w:p>
        </w:tc>
        <w:tc>
          <w:tcPr>
            <w:tcW w:type="dxa" w:w="2600"/>
            <w:tcMar>
              <w:top w:type="dxa" w:w="60"/>
              <w:left w:type="dxa" w:w="80"/>
              <w:bottom w:type="dxa" w:w="60"/>
              <w:right w:type="dxa" w:w="80"/>
            </w:tcMar>
            <w:vAlign w:val="center"/>
          </w:tcPr>
          <w:p>
            <w:r>
              <w:rPr>
                <w:b w:val="false"/>
                <w:bCs w:val="false"/>
                <w:sz w:val="17"/>
                <w:szCs w:val="17"/>
              </w:rPr>
              <w:t xml:space="preserve">El operador carga los datos del envío; el sistema lo registra en 17TRACK vía /register.</w:t>
            </w:r>
          </w:p>
        </w:tc>
        <w:tc>
          <w:tcPr>
            <w:tcW w:type="dxa" w:w="1900"/>
            <w:tcMar>
              <w:top w:type="dxa" w:w="60"/>
              <w:left w:type="dxa" w:w="80"/>
              <w:bottom w:type="dxa" w:w="60"/>
              <w:right w:type="dxa" w:w="80"/>
            </w:tcMar>
            <w:vAlign w:val="center"/>
          </w:tcPr>
          <w:p>
            <w:r>
              <w:rPr>
                <w:b w:val="false"/>
                <w:bCs w:val="false"/>
                <w:sz w:val="17"/>
                <w:szCs w:val="17"/>
              </w:rPr>
              <w:t xml:space="preserve">Envío creado y en seguimiento.</w:t>
            </w:r>
          </w:p>
        </w:tc>
        <w:tc>
          <w:tcPr>
            <w:tcW w:type="dxa" w:w="700"/>
            <w:tcMar>
              <w:top w:type="dxa" w:w="60"/>
              <w:left w:type="dxa" w:w="80"/>
              <w:bottom w:type="dxa" w:w="60"/>
              <w:right w:type="dxa" w:w="80"/>
            </w:tcMar>
            <w:vAlign w:val="center"/>
          </w:tcPr>
          <w:p>
            <w:r>
              <w:rPr>
                <w:b w:val="false"/>
                <w:bCs w:val="false"/>
                <w:sz w:val="17"/>
                <w:szCs w:val="17"/>
              </w:rPr>
              <w:t xml:space="preserve">RF-23</w:t>
            </w:r>
          </w:p>
        </w:tc>
      </w:tr>
      <w:tr>
        <w:tc>
          <w:tcPr>
            <w:tcW w:type="dxa" w:w="700"/>
            <w:tcMar>
              <w:top w:type="dxa" w:w="60"/>
              <w:left w:type="dxa" w:w="80"/>
              <w:bottom w:type="dxa" w:w="60"/>
              <w:right w:type="dxa" w:w="80"/>
            </w:tcMar>
            <w:vAlign w:val="center"/>
          </w:tcPr>
          <w:p>
            <w:r>
              <w:rPr>
                <w:b w:val="false"/>
                <w:bCs w:val="false"/>
                <w:sz w:val="17"/>
                <w:szCs w:val="17"/>
              </w:rPr>
              <w:t xml:space="preserve">UC-24</w:t>
            </w:r>
          </w:p>
        </w:tc>
        <w:tc>
          <w:tcPr>
            <w:tcW w:type="dxa" w:w="1900"/>
            <w:tcMar>
              <w:top w:type="dxa" w:w="60"/>
              <w:left w:type="dxa" w:w="80"/>
              <w:bottom w:type="dxa" w:w="60"/>
              <w:right w:type="dxa" w:w="80"/>
            </w:tcMar>
            <w:vAlign w:val="center"/>
          </w:tcPr>
          <w:p>
            <w:r>
              <w:rPr>
                <w:b w:val="false"/>
                <w:bCs w:val="false"/>
                <w:sz w:val="17"/>
                <w:szCs w:val="17"/>
              </w:rPr>
              <w:t xml:space="preserve">Recibir actualización (webhook)</w:t>
            </w:r>
          </w:p>
        </w:tc>
        <w:tc>
          <w:tcPr>
            <w:tcW w:type="dxa" w:w="1600"/>
            <w:tcMar>
              <w:top w:type="dxa" w:w="60"/>
              <w:left w:type="dxa" w:w="80"/>
              <w:bottom w:type="dxa" w:w="60"/>
              <w:right w:type="dxa" w:w="80"/>
            </w:tcMar>
            <w:vAlign w:val="center"/>
          </w:tcPr>
          <w:p>
            <w:r>
              <w:rPr>
                <w:b w:val="false"/>
                <w:bCs w:val="false"/>
                <w:sz w:val="17"/>
                <w:szCs w:val="17"/>
              </w:rPr>
              <w:t xml:space="preserve">17TRACK</w:t>
            </w:r>
          </w:p>
        </w:tc>
        <w:tc>
          <w:tcPr>
            <w:tcW w:type="dxa" w:w="1700"/>
            <w:tcMar>
              <w:top w:type="dxa" w:w="60"/>
              <w:left w:type="dxa" w:w="80"/>
              <w:bottom w:type="dxa" w:w="60"/>
              <w:right w:type="dxa" w:w="80"/>
            </w:tcMar>
            <w:vAlign w:val="center"/>
          </w:tcPr>
          <w:p>
            <w:r>
              <w:rPr>
                <w:b w:val="false"/>
                <w:bCs w:val="false"/>
                <w:sz w:val="17"/>
                <w:szCs w:val="17"/>
              </w:rPr>
              <w:t xml:space="preserve">Envío registrado (UC-23).</w:t>
            </w:r>
          </w:p>
        </w:tc>
        <w:tc>
          <w:tcPr>
            <w:tcW w:type="dxa" w:w="2600"/>
            <w:tcMar>
              <w:top w:type="dxa" w:w="60"/>
              <w:left w:type="dxa" w:w="80"/>
              <w:bottom w:type="dxa" w:w="60"/>
              <w:right w:type="dxa" w:w="80"/>
            </w:tcMar>
            <w:vAlign w:val="center"/>
          </w:tcPr>
          <w:p>
            <w:r>
              <w:rPr>
                <w:b w:val="false"/>
                <w:bCs w:val="false"/>
                <w:sz w:val="17"/>
                <w:szCs w:val="17"/>
              </w:rPr>
              <w:t xml:space="preserve">17TRACK notifica un cambio de estado por webhook; el sistema lo valida y actualiza el envío.</w:t>
            </w:r>
          </w:p>
        </w:tc>
        <w:tc>
          <w:tcPr>
            <w:tcW w:type="dxa" w:w="1900"/>
            <w:tcMar>
              <w:top w:type="dxa" w:w="60"/>
              <w:left w:type="dxa" w:w="80"/>
              <w:bottom w:type="dxa" w:w="60"/>
              <w:right w:type="dxa" w:w="80"/>
            </w:tcMar>
            <w:vAlign w:val="center"/>
          </w:tcPr>
          <w:p>
            <w:r>
              <w:rPr>
                <w:b w:val="false"/>
                <w:bCs w:val="false"/>
                <w:sz w:val="17"/>
                <w:szCs w:val="17"/>
              </w:rPr>
              <w:t xml:space="preserve">Estado del envío actualizado, evento trazado.</w:t>
            </w:r>
          </w:p>
        </w:tc>
        <w:tc>
          <w:tcPr>
            <w:tcW w:type="dxa" w:w="700"/>
            <w:tcMar>
              <w:top w:type="dxa" w:w="60"/>
              <w:left w:type="dxa" w:w="80"/>
              <w:bottom w:type="dxa" w:w="60"/>
              <w:right w:type="dxa" w:w="80"/>
            </w:tcMar>
            <w:vAlign w:val="center"/>
          </w:tcPr>
          <w:p>
            <w:r>
              <w:rPr>
                <w:b w:val="false"/>
                <w:bCs w:val="false"/>
                <w:sz w:val="17"/>
                <w:szCs w:val="17"/>
              </w:rPr>
              <w:t xml:space="preserve">RF-24</w:t>
            </w:r>
          </w:p>
        </w:tc>
      </w:tr>
      <w:tr>
        <w:tc>
          <w:tcPr>
            <w:tcW w:type="dxa" w:w="700"/>
            <w:tcMar>
              <w:top w:type="dxa" w:w="60"/>
              <w:left w:type="dxa" w:w="80"/>
              <w:bottom w:type="dxa" w:w="60"/>
              <w:right w:type="dxa" w:w="80"/>
            </w:tcMar>
            <w:vAlign w:val="center"/>
          </w:tcPr>
          <w:p>
            <w:r>
              <w:rPr>
                <w:b w:val="false"/>
                <w:bCs w:val="false"/>
                <w:sz w:val="17"/>
                <w:szCs w:val="17"/>
              </w:rPr>
              <w:t xml:space="preserve">UC-25</w:t>
            </w:r>
          </w:p>
        </w:tc>
        <w:tc>
          <w:tcPr>
            <w:tcW w:type="dxa" w:w="1900"/>
            <w:tcMar>
              <w:top w:type="dxa" w:w="60"/>
              <w:left w:type="dxa" w:w="80"/>
              <w:bottom w:type="dxa" w:w="60"/>
              <w:right w:type="dxa" w:w="80"/>
            </w:tcMar>
            <w:vAlign w:val="center"/>
          </w:tcPr>
          <w:p>
            <w:r>
              <w:rPr>
                <w:b w:val="false"/>
                <w:bCs w:val="false"/>
                <w:sz w:val="17"/>
                <w:szCs w:val="17"/>
              </w:rPr>
              <w:t xml:space="preserve">Consultar estado y trazabilidad</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Envío registrado.</w:t>
            </w:r>
          </w:p>
        </w:tc>
        <w:tc>
          <w:tcPr>
            <w:tcW w:type="dxa" w:w="2600"/>
            <w:tcMar>
              <w:top w:type="dxa" w:w="60"/>
              <w:left w:type="dxa" w:w="80"/>
              <w:bottom w:type="dxa" w:w="60"/>
              <w:right w:type="dxa" w:w="80"/>
            </w:tcMar>
            <w:vAlign w:val="center"/>
          </w:tcPr>
          <w:p>
            <w:r>
              <w:rPr>
                <w:b w:val="false"/>
                <w:bCs w:val="false"/>
                <w:sz w:val="17"/>
                <w:szCs w:val="17"/>
              </w:rPr>
              <w:t xml:space="preserve">El operador consulta el estado actual y el historial de eventos del envío.</w:t>
            </w:r>
          </w:p>
        </w:tc>
        <w:tc>
          <w:tcPr>
            <w:tcW w:type="dxa" w:w="1900"/>
            <w:tcMar>
              <w:top w:type="dxa" w:w="60"/>
              <w:left w:type="dxa" w:w="80"/>
              <w:bottom w:type="dxa" w:w="60"/>
              <w:right w:type="dxa" w:w="80"/>
            </w:tcMar>
            <w:vAlign w:val="center"/>
          </w:tcPr>
          <w:p>
            <w:r>
              <w:rPr>
                <w:b w:val="false"/>
                <w:bCs w:val="false"/>
                <w:sz w:val="17"/>
                <w:szCs w:val="17"/>
              </w:rPr>
              <w:t xml:space="preserve">Estado + historial mostrado.</w:t>
            </w:r>
          </w:p>
        </w:tc>
        <w:tc>
          <w:tcPr>
            <w:tcW w:type="dxa" w:w="700"/>
            <w:tcMar>
              <w:top w:type="dxa" w:w="60"/>
              <w:left w:type="dxa" w:w="80"/>
              <w:bottom w:type="dxa" w:w="60"/>
              <w:right w:type="dxa" w:w="80"/>
            </w:tcMar>
            <w:vAlign w:val="center"/>
          </w:tcPr>
          <w:p>
            <w:r>
              <w:rPr>
                <w:b w:val="false"/>
                <w:bCs w:val="false"/>
                <w:sz w:val="17"/>
                <w:szCs w:val="17"/>
              </w:rPr>
              <w:t xml:space="preserve">RF-25</w:t>
            </w:r>
          </w:p>
        </w:tc>
      </w:tr>
    </w:tbl>
    <w:p>
      <w:pPr>
        <w:pStyle w:val="Heading1"/>
        <w:spacing w:after="200" w:before="400"/>
      </w:pPr>
      <w:r>
        <w:t xml:space="preserve">9. Módulo 7 — Panel de Impacto</w:t>
      </w:r>
    </w:p>
    <w:p>
      <w:pPr>
        <w:spacing w:after="200"/>
        <w:jc w:val="center"/>
      </w:pPr>
      <w:r>
        <w:drawing>
          <wp:inline distT="0" distB="0" distL="0" distR="0">
            <wp:extent cx="5943600" cy="1600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18" cstate="none"/>
                    <a:srcRect/>
                    <a:stretch>
                      <a:fillRect/>
                    </a:stretch>
                  </pic:blipFill>
                  <pic:spPr bwMode="auto">
                    <a:xfrm>
                      <a:off x="0" y="0"/>
                      <a:ext cx="5943600" cy="16002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UC-26</w:t>
            </w:r>
          </w:p>
        </w:tc>
        <w:tc>
          <w:tcPr>
            <w:tcW w:type="dxa" w:w="1900"/>
            <w:tcMar>
              <w:top w:type="dxa" w:w="60"/>
              <w:left w:type="dxa" w:w="80"/>
              <w:bottom w:type="dxa" w:w="60"/>
              <w:right w:type="dxa" w:w="80"/>
            </w:tcMar>
            <w:vAlign w:val="center"/>
          </w:tcPr>
          <w:p>
            <w:r>
              <w:rPr>
                <w:b w:val="false"/>
                <w:bCs w:val="false"/>
                <w:sz w:val="17"/>
                <w:szCs w:val="17"/>
              </w:rPr>
              <w:t xml:space="preserve">Ver panel de indicadores</w:t>
            </w:r>
          </w:p>
        </w:tc>
        <w:tc>
          <w:tcPr>
            <w:tcW w:type="dxa" w:w="1600"/>
            <w:tcMar>
              <w:top w:type="dxa" w:w="60"/>
              <w:left w:type="dxa" w:w="80"/>
              <w:bottom w:type="dxa" w:w="60"/>
              <w:right w:type="dxa" w:w="80"/>
            </w:tcMar>
            <w:vAlign w:val="center"/>
          </w:tcPr>
          <w:p>
            <w:r>
              <w:rPr>
                <w:b w:val="false"/>
                <w:bCs w:val="false"/>
                <w:sz w:val="17"/>
                <w:szCs w:val="17"/>
              </w:rPr>
              <w:t xml:space="preserve">Operador, Administrador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Se calculan agregados (entregas, beneficiarios atendidos) sobre asignaciones y turnos.</w:t>
            </w:r>
          </w:p>
        </w:tc>
        <w:tc>
          <w:tcPr>
            <w:tcW w:type="dxa" w:w="1900"/>
            <w:tcMar>
              <w:top w:type="dxa" w:w="60"/>
              <w:left w:type="dxa" w:w="80"/>
              <w:bottom w:type="dxa" w:w="60"/>
              <w:right w:type="dxa" w:w="80"/>
            </w:tcMar>
            <w:vAlign w:val="center"/>
          </w:tcPr>
          <w:p>
            <w:r>
              <w:rPr>
                <w:b w:val="false"/>
                <w:bCs w:val="false"/>
                <w:sz w:val="17"/>
                <w:szCs w:val="17"/>
              </w:rPr>
              <w:t xml:space="preserve">Panel mostrado.</w:t>
            </w:r>
          </w:p>
        </w:tc>
        <w:tc>
          <w:tcPr>
            <w:tcW w:type="dxa" w:w="700"/>
            <w:tcMar>
              <w:top w:type="dxa" w:w="60"/>
              <w:left w:type="dxa" w:w="80"/>
              <w:bottom w:type="dxa" w:w="60"/>
              <w:right w:type="dxa" w:w="80"/>
            </w:tcMar>
            <w:vAlign w:val="center"/>
          </w:tcPr>
          <w:p>
            <w:r>
              <w:rPr>
                <w:b w:val="false"/>
                <w:bCs w:val="false"/>
                <w:sz w:val="17"/>
                <w:szCs w:val="17"/>
              </w:rPr>
              <w:t xml:space="preserve">RF-26</w:t>
            </w:r>
          </w:p>
        </w:tc>
      </w:tr>
      <w:tr>
        <w:tc>
          <w:tcPr>
            <w:tcW w:type="dxa" w:w="700"/>
            <w:tcMar>
              <w:top w:type="dxa" w:w="60"/>
              <w:left w:type="dxa" w:w="80"/>
              <w:bottom w:type="dxa" w:w="60"/>
              <w:right w:type="dxa" w:w="80"/>
            </w:tcMar>
            <w:vAlign w:val="center"/>
          </w:tcPr>
          <w:p>
            <w:r>
              <w:rPr>
                <w:b w:val="false"/>
                <w:bCs w:val="false"/>
                <w:sz w:val="17"/>
                <w:szCs w:val="17"/>
              </w:rPr>
              <w:t xml:space="preserve">UC-27</w:t>
            </w:r>
          </w:p>
        </w:tc>
        <w:tc>
          <w:tcPr>
            <w:tcW w:type="dxa" w:w="1900"/>
            <w:tcMar>
              <w:top w:type="dxa" w:w="60"/>
              <w:left w:type="dxa" w:w="80"/>
              <w:bottom w:type="dxa" w:w="60"/>
              <w:right w:type="dxa" w:w="80"/>
            </w:tcMar>
            <w:vAlign w:val="center"/>
          </w:tcPr>
          <w:p>
            <w:r>
              <w:rPr>
                <w:b w:val="false"/>
                <w:bCs w:val="false"/>
                <w:sz w:val="17"/>
                <w:szCs w:val="17"/>
              </w:rPr>
              <w:t xml:space="preserve">Filtrar métricas por período</w:t>
            </w:r>
          </w:p>
        </w:tc>
        <w:tc>
          <w:tcPr>
            <w:tcW w:type="dxa" w:w="1600"/>
            <w:tcMar>
              <w:top w:type="dxa" w:w="60"/>
              <w:left w:type="dxa" w:w="80"/>
              <w:bottom w:type="dxa" w:w="60"/>
              <w:right w:type="dxa" w:w="80"/>
            </w:tcMar>
            <w:vAlign w:val="center"/>
          </w:tcPr>
          <w:p>
            <w:r>
              <w:rPr>
                <w:b w:val="false"/>
                <w:bCs w:val="false"/>
                <w:sz w:val="17"/>
                <w:szCs w:val="17"/>
              </w:rPr>
              <w:t xml:space="preserve">Operador, Administrador</w:t>
            </w:r>
          </w:p>
        </w:tc>
        <w:tc>
          <w:tcPr>
            <w:tcW w:type="dxa" w:w="1700"/>
            <w:tcMar>
              <w:top w:type="dxa" w:w="60"/>
              <w:left w:type="dxa" w:w="80"/>
              <w:bottom w:type="dxa" w:w="60"/>
              <w:right w:type="dxa" w:w="80"/>
            </w:tcMar>
            <w:vAlign w:val="center"/>
          </w:tcPr>
          <w:p>
            <w:r>
              <w:rPr>
                <w:b w:val="false"/>
                <w:bCs w:val="false"/>
                <w:sz w:val="17"/>
                <w:szCs w:val="17"/>
              </w:rPr>
              <w:t xml:space="preserve">Panel visible (UC-26).</w:t>
            </w:r>
          </w:p>
        </w:tc>
        <w:tc>
          <w:tcPr>
            <w:tcW w:type="dxa" w:w="2600"/>
            <w:tcMar>
              <w:top w:type="dxa" w:w="60"/>
              <w:left w:type="dxa" w:w="80"/>
              <w:bottom w:type="dxa" w:w="60"/>
              <w:right w:type="dxa" w:w="80"/>
            </w:tcMar>
            <w:vAlign w:val="center"/>
          </w:tcPr>
          <w:p>
            <w:r>
              <w:rPr>
                <w:b w:val="false"/>
                <w:bCs w:val="false"/>
                <w:sz w:val="17"/>
                <w:szCs w:val="17"/>
              </w:rPr>
              <w:t xml:space="preserve">Se elige un rango de fechas; el sistema recalcula los indicadores acotados a ese período.</w:t>
            </w:r>
          </w:p>
        </w:tc>
        <w:tc>
          <w:tcPr>
            <w:tcW w:type="dxa" w:w="1900"/>
            <w:tcMar>
              <w:top w:type="dxa" w:w="60"/>
              <w:left w:type="dxa" w:w="80"/>
              <w:bottom w:type="dxa" w:w="60"/>
              <w:right w:type="dxa" w:w="80"/>
            </w:tcMar>
            <w:vAlign w:val="center"/>
          </w:tcPr>
          <w:p>
            <w:r>
              <w:rPr>
                <w:b w:val="false"/>
                <w:bCs w:val="false"/>
                <w:sz w:val="17"/>
                <w:szCs w:val="17"/>
              </w:rPr>
              <w:t xml:space="preserve">Métricas del período mostradas.</w:t>
            </w:r>
          </w:p>
        </w:tc>
        <w:tc>
          <w:tcPr>
            <w:tcW w:type="dxa" w:w="700"/>
            <w:tcMar>
              <w:top w:type="dxa" w:w="60"/>
              <w:left w:type="dxa" w:w="80"/>
              <w:bottom w:type="dxa" w:w="60"/>
              <w:right w:type="dxa" w:w="80"/>
            </w:tcMar>
            <w:vAlign w:val="center"/>
          </w:tcPr>
          <w:p>
            <w:r>
              <w:rPr>
                <w:b w:val="false"/>
                <w:bCs w:val="false"/>
                <w:sz w:val="17"/>
                <w:szCs w:val="17"/>
              </w:rPr>
              <w:t xml:space="preserve">RF-27</w:t>
            </w:r>
          </w:p>
        </w:tc>
      </w:tr>
    </w:tbl>
    <w:p>
      <w:pPr>
        <w:pStyle w:val="Heading1"/>
        <w:spacing w:after="200" w:before="400"/>
      </w:pPr>
      <w:r>
        <w:t xml:space="preserve">10. Módulo 8 — Catálogo de Venta</w:t>
      </w:r>
    </w:p>
    <w:p>
      <w:pPr>
        <w:spacing w:after="200"/>
        <w:jc w:val="center"/>
      </w:pPr>
      <w:r>
        <w:drawing>
          <wp:inline distT="0" distB="0" distL="0" distR="0">
            <wp:extent cx="5943600" cy="21050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19" cstate="none"/>
                    <a:srcRect/>
                    <a:stretch>
                      <a:fillRect/>
                    </a:stretch>
                  </pic:blipFill>
                  <pic:spPr bwMode="auto">
                    <a:xfrm>
                      <a:off x="0" y="0"/>
                      <a:ext cx="5943600" cy="21050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UC-28</w:t>
            </w:r>
          </w:p>
        </w:tc>
        <w:tc>
          <w:tcPr>
            <w:tcW w:type="dxa" w:w="1900"/>
            <w:tcMar>
              <w:top w:type="dxa" w:w="60"/>
              <w:left w:type="dxa" w:w="80"/>
              <w:bottom w:type="dxa" w:w="60"/>
              <w:right w:type="dxa" w:w="80"/>
            </w:tcMar>
            <w:vAlign w:val="center"/>
          </w:tcPr>
          <w:p>
            <w:r>
              <w:rPr>
                <w:b w:val="false"/>
                <w:bCs w:val="false"/>
                <w:sz w:val="17"/>
                <w:szCs w:val="17"/>
              </w:rPr>
              <w:t xml:space="preserve">Consultar catálogo</w:t>
            </w:r>
          </w:p>
        </w:tc>
        <w:tc>
          <w:tcPr>
            <w:tcW w:type="dxa" w:w="1600"/>
            <w:tcMar>
              <w:top w:type="dxa" w:w="60"/>
              <w:left w:type="dxa" w:w="80"/>
              <w:bottom w:type="dxa" w:w="60"/>
              <w:right w:type="dxa" w:w="80"/>
            </w:tcMar>
            <w:vAlign w:val="center"/>
          </w:tcPr>
          <w:p>
            <w:r>
              <w:rPr>
                <w:b w:val="false"/>
                <w:bCs w:val="false"/>
                <w:sz w:val="17"/>
                <w:szCs w:val="17"/>
              </w:rPr>
              <w:t xml:space="preserve">Comprador, 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Se listan los productos activos del catálogo, con imagen y precio.</w:t>
            </w:r>
          </w:p>
        </w:tc>
        <w:tc>
          <w:tcPr>
            <w:tcW w:type="dxa" w:w="1900"/>
            <w:tcMar>
              <w:top w:type="dxa" w:w="60"/>
              <w:left w:type="dxa" w:w="80"/>
              <w:bottom w:type="dxa" w:w="60"/>
              <w:right w:type="dxa" w:w="80"/>
            </w:tcMar>
            <w:vAlign w:val="center"/>
          </w:tcPr>
          <w:p>
            <w:r>
              <w:rPr>
                <w:b w:val="false"/>
                <w:bCs w:val="false"/>
                <w:sz w:val="17"/>
                <w:szCs w:val="17"/>
              </w:rPr>
              <w:t xml:space="preserve">Catálogo mostrado.</w:t>
            </w:r>
          </w:p>
        </w:tc>
        <w:tc>
          <w:tcPr>
            <w:tcW w:type="dxa" w:w="700"/>
            <w:tcMar>
              <w:top w:type="dxa" w:w="60"/>
              <w:left w:type="dxa" w:w="80"/>
              <w:bottom w:type="dxa" w:w="60"/>
              <w:right w:type="dxa" w:w="80"/>
            </w:tcMar>
            <w:vAlign w:val="center"/>
          </w:tcPr>
          <w:p>
            <w:r>
              <w:rPr>
                <w:b w:val="false"/>
                <w:bCs w:val="false"/>
                <w:sz w:val="17"/>
                <w:szCs w:val="17"/>
              </w:rPr>
              <w:t xml:space="preserve">RF-28</w:t>
            </w:r>
          </w:p>
        </w:tc>
      </w:tr>
      <w:tr>
        <w:tc>
          <w:tcPr>
            <w:tcW w:type="dxa" w:w="700"/>
            <w:tcMar>
              <w:top w:type="dxa" w:w="60"/>
              <w:left w:type="dxa" w:w="80"/>
              <w:bottom w:type="dxa" w:w="60"/>
              <w:right w:type="dxa" w:w="80"/>
            </w:tcMar>
            <w:vAlign w:val="center"/>
          </w:tcPr>
          <w:p>
            <w:r>
              <w:rPr>
                <w:b w:val="false"/>
                <w:bCs w:val="false"/>
                <w:sz w:val="17"/>
                <w:szCs w:val="17"/>
              </w:rPr>
              <w:t xml:space="preserve">UC-29</w:t>
            </w:r>
          </w:p>
        </w:tc>
        <w:tc>
          <w:tcPr>
            <w:tcW w:type="dxa" w:w="1900"/>
            <w:tcMar>
              <w:top w:type="dxa" w:w="60"/>
              <w:left w:type="dxa" w:w="80"/>
              <w:bottom w:type="dxa" w:w="60"/>
              <w:right w:type="dxa" w:w="80"/>
            </w:tcMar>
            <w:vAlign w:val="center"/>
          </w:tcPr>
          <w:p>
            <w:r>
              <w:rPr>
                <w:b w:val="false"/>
                <w:bCs w:val="false"/>
                <w:sz w:val="17"/>
                <w:szCs w:val="17"/>
              </w:rPr>
              <w:t xml:space="preserve">Registrar venta</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Stock suficiente.</w:t>
            </w:r>
          </w:p>
        </w:tc>
        <w:tc>
          <w:tcPr>
            <w:tcW w:type="dxa" w:w="2600"/>
            <w:tcMar>
              <w:top w:type="dxa" w:w="60"/>
              <w:left w:type="dxa" w:w="80"/>
              <w:bottom w:type="dxa" w:w="60"/>
              <w:right w:type="dxa" w:w="80"/>
            </w:tcMar>
            <w:vAlign w:val="center"/>
          </w:tcPr>
          <w:p>
            <w:r>
              <w:rPr>
                <w:b w:val="false"/>
                <w:bCs w:val="false"/>
                <w:sz w:val="17"/>
                <w:szCs w:val="17"/>
              </w:rPr>
              <w:t xml:space="preserve">El operador registra la venta de un producto; el sistema descuenta stock.</w:t>
            </w:r>
          </w:p>
        </w:tc>
        <w:tc>
          <w:tcPr>
            <w:tcW w:type="dxa" w:w="1900"/>
            <w:tcMar>
              <w:top w:type="dxa" w:w="60"/>
              <w:left w:type="dxa" w:w="80"/>
              <w:bottom w:type="dxa" w:w="60"/>
              <w:right w:type="dxa" w:w="80"/>
            </w:tcMar>
            <w:vAlign w:val="center"/>
          </w:tcPr>
          <w:p>
            <w:r>
              <w:rPr>
                <w:b w:val="false"/>
                <w:bCs w:val="false"/>
                <w:sz w:val="17"/>
                <w:szCs w:val="17"/>
              </w:rPr>
              <w:t xml:space="preserve">Venta registrada, stock actualizado.</w:t>
            </w:r>
          </w:p>
        </w:tc>
        <w:tc>
          <w:tcPr>
            <w:tcW w:type="dxa" w:w="700"/>
            <w:tcMar>
              <w:top w:type="dxa" w:w="60"/>
              <w:left w:type="dxa" w:w="80"/>
              <w:bottom w:type="dxa" w:w="60"/>
              <w:right w:type="dxa" w:w="80"/>
            </w:tcMar>
            <w:vAlign w:val="center"/>
          </w:tcPr>
          <w:p>
            <w:r>
              <w:rPr>
                <w:b w:val="false"/>
                <w:bCs w:val="false"/>
                <w:sz w:val="17"/>
                <w:szCs w:val="17"/>
              </w:rPr>
              <w:t xml:space="preserve">RF-29</w:t>
            </w:r>
          </w:p>
        </w:tc>
      </w:tr>
      <w:tr>
        <w:tc>
          <w:tcPr>
            <w:tcW w:type="dxa" w:w="700"/>
            <w:tcMar>
              <w:top w:type="dxa" w:w="60"/>
              <w:left w:type="dxa" w:w="80"/>
              <w:bottom w:type="dxa" w:w="60"/>
              <w:right w:type="dxa" w:w="80"/>
            </w:tcMar>
            <w:vAlign w:val="center"/>
          </w:tcPr>
          <w:p>
            <w:r>
              <w:rPr>
                <w:b w:val="false"/>
                <w:bCs w:val="false"/>
                <w:sz w:val="17"/>
                <w:szCs w:val="17"/>
              </w:rPr>
              <w:t xml:space="preserve">UC-30</w:t>
            </w:r>
          </w:p>
        </w:tc>
        <w:tc>
          <w:tcPr>
            <w:tcW w:type="dxa" w:w="1900"/>
            <w:tcMar>
              <w:top w:type="dxa" w:w="60"/>
              <w:left w:type="dxa" w:w="80"/>
              <w:bottom w:type="dxa" w:w="60"/>
              <w:right w:type="dxa" w:w="80"/>
            </w:tcMar>
            <w:vAlign w:val="center"/>
          </w:tcPr>
          <w:p>
            <w:r>
              <w:rPr>
                <w:b w:val="false"/>
                <w:bCs w:val="false"/>
                <w:sz w:val="17"/>
                <w:szCs w:val="17"/>
              </w:rPr>
              <w:t xml:space="preserve">Gestionar stock del catálogo</w:t>
            </w:r>
          </w:p>
        </w:tc>
        <w:tc>
          <w:tcPr>
            <w:tcW w:type="dxa" w:w="1600"/>
            <w:tcMar>
              <w:top w:type="dxa" w:w="60"/>
              <w:left w:type="dxa" w:w="80"/>
              <w:bottom w:type="dxa" w:w="60"/>
              <w:right w:type="dxa" w:w="80"/>
            </w:tcMar>
            <w:vAlign w:val="center"/>
          </w:tcPr>
          <w:p>
            <w:r>
              <w:rPr>
                <w:b w:val="false"/>
                <w:bCs w:val="false"/>
                <w:sz w:val="17"/>
                <w:szCs w:val="17"/>
              </w:rPr>
              <w:t xml:space="preserve">Administrador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Se carga, edita o discontinúa (baja lógica) un producto.</w:t>
            </w:r>
          </w:p>
        </w:tc>
        <w:tc>
          <w:tcPr>
            <w:tcW w:type="dxa" w:w="1900"/>
            <w:tcMar>
              <w:top w:type="dxa" w:w="60"/>
              <w:left w:type="dxa" w:w="80"/>
              <w:bottom w:type="dxa" w:w="60"/>
              <w:right w:type="dxa" w:w="80"/>
            </w:tcMar>
            <w:vAlign w:val="center"/>
          </w:tcPr>
          <w:p>
            <w:r>
              <w:rPr>
                <w:b w:val="false"/>
                <w:bCs w:val="false"/>
                <w:sz w:val="17"/>
                <w:szCs w:val="17"/>
              </w:rPr>
              <w:t xml:space="preserve">Catálogo actualizado.</w:t>
            </w:r>
          </w:p>
        </w:tc>
        <w:tc>
          <w:tcPr>
            <w:tcW w:type="dxa" w:w="700"/>
            <w:tcMar>
              <w:top w:type="dxa" w:w="60"/>
              <w:left w:type="dxa" w:w="80"/>
              <w:bottom w:type="dxa" w:w="60"/>
              <w:right w:type="dxa" w:w="80"/>
            </w:tcMar>
            <w:vAlign w:val="center"/>
          </w:tcPr>
          <w:p>
            <w:r>
              <w:rPr>
                <w:b w:val="false"/>
                <w:bCs w:val="false"/>
                <w:sz w:val="17"/>
                <w:szCs w:val="17"/>
              </w:rPr>
              <w:t xml:space="preserve">RF-30</w:t>
            </w:r>
          </w:p>
        </w:tc>
      </w:tr>
    </w:tbl>
    <w:p>
      <w:pPr>
        <w:pStyle w:val="Heading1"/>
        <w:spacing w:after="200" w:before="400"/>
      </w:pPr>
      <w:r>
        <w:t xml:space="preserve">11. Notas de trazabilidad</w:t>
      </w:r>
    </w:p>
    <w:p>
      <w:pPr>
        <w:spacing w:after="120"/>
      </w:pPr>
      <w:r>
        <w:t xml:space="preserve">• Correspondencia 1 a 1 con los RF del SRS, salvo UC-20/UC-20b que desagregan RF-20 para reflejar el flujo condicionado al bono contribución (decisión de diseño, no un requisito adicional).</w:t>
      </w:r>
    </w:p>
    <w:p>
      <w:pPr>
        <w:spacing w:after="120"/>
      </w:pPr>
      <w:r>
        <w:t xml:space="preserve">• Los casos de uso de este documento son esenciales: describen la intención del actor y la respuesta del sistema sin atarse a una pantalla concreta. El detalle de interacción con la UI se especifica en el entregable "Casos de Uso Reales".</w:t>
      </w:r>
    </w:p>
    <w:p>
      <w:r>
        <w:br w:type="page"/>
      </w:r>
    </w:p>
    <w:p>
      <w:pPr>
        <w:spacing w:before="1200"/>
      </w:pPr>
    </w:p>
    <w:p>
      <w:pPr>
        <w:spacing w:after="200"/>
        <w:jc w:val="center"/>
      </w:pPr>
      <w:r>
        <w:rPr>
          <w:b/>
          <w:bCs/>
          <w:sz w:val="40"/>
          <w:szCs w:val="40"/>
        </w:rPr>
        <w:t xml:space="preserve">Mockups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Modelo de Casos de Uso · Proyecto Final UTN-FRT 2026 · ID T045</w:t>
      </w:r>
    </w:p>
    <w:p>
      <w:r>
        <w:br w:type="page"/>
      </w:r>
    </w:p>
    <w:p>
      <w:pPr>
        <w:pStyle w:val="Heading1"/>
        <w:spacing w:after="200" w:before="400"/>
      </w:pPr>
      <w:r>
        <w:t xml:space="preserve">Convenciones</w:t>
      </w:r>
    </w:p>
    <w:p>
      <w:pPr>
        <w:spacing w:after="120"/>
      </w:pPr>
      <w:r>
        <w:t xml:space="preserve">Wireframes de fidelidad media: labels, navegación y textos de UI reales; los datos mostrados (nombres, DNI, montos) son ilustrativos. El detalle de interacción concreta con cada pantalla se desarrolla en el entregable "Casos de Uso Reales".</w:t>
      </w:r>
    </w:p>
    <w:p>
      <w:pPr>
        <w:pStyle w:val="ListParagraph"/>
        <w:numPr>
          <w:ilvl w:val="0"/>
          <w:numId w:val="3"/>
        </w:numPr>
        <w:spacing w:after="60"/>
      </w:pPr>
      <w:r>
        <w:t xml:space="preserve">Navegación lateral (Operador/Administrador): refleja los módulos del backend uno a uno. El Administrador ve además "Indicadores" y "Usuarios".</w:t>
      </w:r>
    </w:p>
    <w:p>
      <w:pPr>
        <w:pStyle w:val="ListParagraph"/>
        <w:numPr>
          <w:ilvl w:val="0"/>
          <w:numId w:val="3"/>
        </w:numPr>
        <w:spacing w:after="60"/>
      </w:pPr>
      <w:r>
        <w:t xml:space="preserve">Portal de autogestión (Beneficiario): navegación superior simplificada, sin acceso a datos de otros beneficiarios.</w:t>
      </w:r>
    </w:p>
    <w:p>
      <w:pPr>
        <w:pStyle w:val="ListParagraph"/>
        <w:numPr>
          <w:ilvl w:val="0"/>
          <w:numId w:val="3"/>
        </w:numPr>
        <w:spacing w:after="60"/>
      </w:pPr>
      <w:r>
        <w:t xml:space="preserve">Catálogo público: sin barra lateral ni sesión iniciada; accesible para cualquier visitante.</w:t>
      </w:r>
    </w:p>
    <w:p>
      <w:pPr>
        <w:pStyle w:val="ListParagraph"/>
        <w:numPr>
          <w:ilvl w:val="0"/>
          <w:numId w:val="3"/>
        </w:numPr>
        <w:spacing w:after="60"/>
      </w:pPr>
      <w:r>
        <w:t xml:space="preserve">Badges de estado: verde = OK/vigente/completo, amarillo = atención/vencido/en curso, rojo = pendiente/bloqueante, azul = informativo.</w:t>
      </w:r>
    </w:p>
    <w:p>
      <w:pPr>
        <w:pStyle w:val="ListParagraph"/>
        <w:numPr>
          <w:ilvl w:val="0"/>
          <w:numId w:val="3"/>
        </w:numPr>
        <w:spacing w:after="60"/>
      </w:pPr>
      <w:r>
        <w:t xml:space="preserve">Las áreas con textura rayada representan imágenes o gráficos (fotos de marcos, gráficos del panel de impacto, previsualización del probador virtual).</w:t>
      </w:r>
    </w:p>
    <w:p>
      <w:pPr>
        <w:pStyle w:val="Heading1"/>
        <w:spacing w:after="200" w:before="400"/>
      </w:pPr>
      <w:r>
        <w:t xml:space="preserve">Listado de pantallas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200"/>
        <w:gridCol w:w="3780"/>
      </w:tblGrid>
      <w:tr>
        <w:trPr>
          <w:tblHeader/>
        </w:trPr>
        <w:tc>
          <w:tcPr>
            <w:tcW w:type="dxa" w:w="500"/>
            <w:shd w:fill="D9D9D9" w:color="auto" w:val="clear"/>
            <w:tcMar>
              <w:top w:type="dxa" w:w="60"/>
              <w:left w:type="dxa" w:w="80"/>
              <w:bottom w:type="dxa" w:w="60"/>
              <w:right w:type="dxa" w:w="80"/>
            </w:tcMar>
            <w:vAlign w:val="center"/>
          </w:tcPr>
          <w:p>
            <w:r>
              <w:rPr>
                <w:b/>
                <w:bCs/>
                <w:sz w:val="18"/>
                <w:szCs w:val="18"/>
              </w:rPr>
              <w:t xml:space="preserve">#</w:t>
            </w:r>
          </w:p>
        </w:tc>
        <w:tc>
          <w:tcPr>
            <w:tcW w:type="dxa" w:w="3600"/>
            <w:shd w:fill="D9D9D9" w:color="auto" w:val="clear"/>
            <w:tcMar>
              <w:top w:type="dxa" w:w="60"/>
              <w:left w:type="dxa" w:w="80"/>
              <w:bottom w:type="dxa" w:w="60"/>
              <w:right w:type="dxa" w:w="80"/>
            </w:tcMar>
            <w:vAlign w:val="center"/>
          </w:tcPr>
          <w:p>
            <w:r>
              <w:rPr>
                <w:b/>
                <w:bCs/>
                <w:sz w:val="18"/>
                <w:szCs w:val="18"/>
              </w:rPr>
              <w:t xml:space="preserve">Pantalla</w:t>
            </w:r>
          </w:p>
        </w:tc>
        <w:tc>
          <w:tcPr>
            <w:tcW w:type="dxa" w:w="2200"/>
            <w:shd w:fill="D9D9D9" w:color="auto" w:val="clear"/>
            <w:tcMar>
              <w:top w:type="dxa" w:w="60"/>
              <w:left w:type="dxa" w:w="80"/>
              <w:bottom w:type="dxa" w:w="60"/>
              <w:right w:type="dxa" w:w="80"/>
            </w:tcMar>
            <w:vAlign w:val="center"/>
          </w:tcPr>
          <w:p>
            <w:r>
              <w:rPr>
                <w:b/>
                <w:bCs/>
                <w:sz w:val="18"/>
                <w:szCs w:val="18"/>
              </w:rPr>
              <w:t xml:space="preserve">Rol</w:t>
            </w:r>
          </w:p>
        </w:tc>
        <w:tc>
          <w:tcPr>
            <w:tcW w:type="dxa" w:w="3780"/>
            <w:shd w:fill="D9D9D9" w:color="auto" w:val="clear"/>
            <w:tcMar>
              <w:top w:type="dxa" w:w="60"/>
              <w:left w:type="dxa" w:w="80"/>
              <w:bottom w:type="dxa" w:w="60"/>
              <w:right w:type="dxa" w:w="80"/>
            </w:tcMar>
            <w:vAlign w:val="center"/>
          </w:tcPr>
          <w:p>
            <w:r>
              <w:rPr>
                <w:b/>
                <w:bCs/>
                <w:sz w:val="18"/>
                <w:szCs w:val="18"/>
              </w:rPr>
              <w:t xml:space="preserve">Casos de uso</w:t>
            </w:r>
          </w:p>
        </w:tc>
      </w:tr>
      <w:tr>
        <w:tc>
          <w:tcPr>
            <w:tcW w:type="dxa" w:w="500"/>
            <w:tcMar>
              <w:top w:type="dxa" w:w="60"/>
              <w:left w:type="dxa" w:w="80"/>
              <w:bottom w:type="dxa" w:w="60"/>
              <w:right w:type="dxa" w:w="80"/>
            </w:tcMar>
            <w:vAlign w:val="center"/>
          </w:tcPr>
          <w:p>
            <w:r>
              <w:rPr>
                <w:b w:val="false"/>
                <w:bCs w:val="false"/>
                <w:sz w:val="17"/>
                <w:szCs w:val="17"/>
              </w:rPr>
              <w:t xml:space="preserve">1</w:t>
            </w:r>
          </w:p>
        </w:tc>
        <w:tc>
          <w:tcPr>
            <w:tcW w:type="dxa" w:w="3600"/>
            <w:tcMar>
              <w:top w:type="dxa" w:w="60"/>
              <w:left w:type="dxa" w:w="80"/>
              <w:bottom w:type="dxa" w:w="60"/>
              <w:right w:type="dxa" w:w="80"/>
            </w:tcMar>
            <w:vAlign w:val="center"/>
          </w:tcPr>
          <w:p>
            <w:r>
              <w:rPr>
                <w:b w:val="false"/>
                <w:bCs w:val="false"/>
                <w:sz w:val="17"/>
                <w:szCs w:val="17"/>
              </w:rPr>
              <w:t xml:space="preserve">Inicio de sesión</w:t>
            </w:r>
          </w:p>
        </w:tc>
        <w:tc>
          <w:tcPr>
            <w:tcW w:type="dxa" w:w="2200"/>
            <w:tcMar>
              <w:top w:type="dxa" w:w="60"/>
              <w:left w:type="dxa" w:w="80"/>
              <w:bottom w:type="dxa" w:w="60"/>
              <w:right w:type="dxa" w:w="80"/>
            </w:tcMar>
            <w:vAlign w:val="center"/>
          </w:tcPr>
          <w:p>
            <w:r>
              <w:rPr>
                <w:b w:val="false"/>
                <w:bCs w:val="false"/>
                <w:sz w:val="17"/>
                <w:szCs w:val="17"/>
              </w:rPr>
              <w:t xml:space="preserve">Todos</w:t>
            </w:r>
          </w:p>
        </w:tc>
        <w:tc>
          <w:tcPr>
            <w:tcW w:type="dxa" w:w="3780"/>
            <w:tcMar>
              <w:top w:type="dxa" w:w="60"/>
              <w:left w:type="dxa" w:w="80"/>
              <w:bottom w:type="dxa" w:w="60"/>
              <w:right w:type="dxa" w:w="80"/>
            </w:tcMar>
            <w:vAlign w:val="center"/>
          </w:tcPr>
          <w:p>
            <w:r>
              <w:rPr>
                <w:b w:val="false"/>
                <w:bCs w:val="false"/>
                <w:sz w:val="17"/>
                <w:szCs w:val="17"/>
              </w:rPr>
              <w:t xml:space="preserve">RNF-01</w:t>
            </w:r>
          </w:p>
        </w:tc>
      </w:tr>
      <w:tr>
        <w:tc>
          <w:tcPr>
            <w:tcW w:type="dxa" w:w="500"/>
            <w:tcMar>
              <w:top w:type="dxa" w:w="60"/>
              <w:left w:type="dxa" w:w="80"/>
              <w:bottom w:type="dxa" w:w="60"/>
              <w:right w:type="dxa" w:w="80"/>
            </w:tcMar>
            <w:vAlign w:val="center"/>
          </w:tcPr>
          <w:p>
            <w:r>
              <w:rPr>
                <w:b w:val="false"/>
                <w:bCs w:val="false"/>
                <w:sz w:val="17"/>
                <w:szCs w:val="17"/>
              </w:rPr>
              <w:t xml:space="preserve">2</w:t>
            </w:r>
          </w:p>
        </w:tc>
        <w:tc>
          <w:tcPr>
            <w:tcW w:type="dxa" w:w="3600"/>
            <w:tcMar>
              <w:top w:type="dxa" w:w="60"/>
              <w:left w:type="dxa" w:w="80"/>
              <w:bottom w:type="dxa" w:w="60"/>
              <w:right w:type="dxa" w:w="80"/>
            </w:tcMar>
            <w:vAlign w:val="center"/>
          </w:tcPr>
          <w:p>
            <w:r>
              <w:rPr>
                <w:b w:val="false"/>
                <w:bCs w:val="false"/>
                <w:sz w:val="17"/>
                <w:szCs w:val="17"/>
              </w:rPr>
              <w:t xml:space="preserve">Inicio (panel del Operador)</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w:t>
            </w:r>
          </w:p>
        </w:tc>
      </w:tr>
      <w:tr>
        <w:tc>
          <w:tcPr>
            <w:tcW w:type="dxa" w:w="500"/>
            <w:tcMar>
              <w:top w:type="dxa" w:w="60"/>
              <w:left w:type="dxa" w:w="80"/>
              <w:bottom w:type="dxa" w:w="60"/>
              <w:right w:type="dxa" w:w="80"/>
            </w:tcMar>
            <w:vAlign w:val="center"/>
          </w:tcPr>
          <w:p>
            <w:r>
              <w:rPr>
                <w:b w:val="false"/>
                <w:bCs w:val="false"/>
                <w:sz w:val="17"/>
                <w:szCs w:val="17"/>
              </w:rPr>
              <w:t xml:space="preserve">3</w:t>
            </w:r>
          </w:p>
        </w:tc>
        <w:tc>
          <w:tcPr>
            <w:tcW w:type="dxa" w:w="3600"/>
            <w:tcMar>
              <w:top w:type="dxa" w:w="60"/>
              <w:left w:type="dxa" w:w="80"/>
              <w:bottom w:type="dxa" w:w="60"/>
              <w:right w:type="dxa" w:w="80"/>
            </w:tcMar>
            <w:vAlign w:val="center"/>
          </w:tcPr>
          <w:p>
            <w:r>
              <w:rPr>
                <w:b w:val="false"/>
                <w:bCs w:val="false"/>
                <w:sz w:val="17"/>
                <w:szCs w:val="17"/>
              </w:rPr>
              <w:t xml:space="preserve">Solicitantes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UC-08</w:t>
            </w:r>
          </w:p>
        </w:tc>
      </w:tr>
      <w:tr>
        <w:tc>
          <w:tcPr>
            <w:tcW w:type="dxa" w:w="500"/>
            <w:tcMar>
              <w:top w:type="dxa" w:w="60"/>
              <w:left w:type="dxa" w:w="80"/>
              <w:bottom w:type="dxa" w:w="60"/>
              <w:right w:type="dxa" w:w="80"/>
            </w:tcMar>
            <w:vAlign w:val="center"/>
          </w:tcPr>
          <w:p>
            <w:r>
              <w:rPr>
                <w:b w:val="false"/>
                <w:bCs w:val="false"/>
                <w:sz w:val="17"/>
                <w:szCs w:val="17"/>
              </w:rPr>
              <w:t xml:space="preserve">4</w:t>
            </w:r>
          </w:p>
        </w:tc>
        <w:tc>
          <w:tcPr>
            <w:tcW w:type="dxa" w:w="3600"/>
            <w:tcMar>
              <w:top w:type="dxa" w:w="60"/>
              <w:left w:type="dxa" w:w="80"/>
              <w:bottom w:type="dxa" w:w="60"/>
              <w:right w:type="dxa" w:w="80"/>
            </w:tcMar>
            <w:vAlign w:val="center"/>
          </w:tcPr>
          <w:p>
            <w:r>
              <w:rPr>
                <w:b w:val="false"/>
                <w:bCs w:val="false"/>
                <w:sz w:val="17"/>
                <w:szCs w:val="17"/>
              </w:rPr>
              <w:t xml:space="preserve">Solicitantes — Alta / Detalle y validación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UC-01, UC-02, UC-06, UC-03, UC-04, UC-05, UC-07</w:t>
            </w:r>
          </w:p>
        </w:tc>
      </w:tr>
      <w:tr>
        <w:tc>
          <w:tcPr>
            <w:tcW w:type="dxa" w:w="500"/>
            <w:tcMar>
              <w:top w:type="dxa" w:w="60"/>
              <w:left w:type="dxa" w:w="80"/>
              <w:bottom w:type="dxa" w:w="60"/>
              <w:right w:type="dxa" w:w="80"/>
            </w:tcMar>
            <w:vAlign w:val="center"/>
          </w:tcPr>
          <w:p>
            <w:r>
              <w:rPr>
                <w:b w:val="false"/>
                <w:bCs w:val="false"/>
                <w:sz w:val="17"/>
                <w:szCs w:val="17"/>
              </w:rPr>
              <w:t xml:space="preserve">5</w:t>
            </w:r>
          </w:p>
        </w:tc>
        <w:tc>
          <w:tcPr>
            <w:tcW w:type="dxa" w:w="3600"/>
            <w:tcMar>
              <w:top w:type="dxa" w:w="60"/>
              <w:left w:type="dxa" w:w="80"/>
              <w:bottom w:type="dxa" w:w="60"/>
              <w:right w:type="dxa" w:w="80"/>
            </w:tcMar>
            <w:vAlign w:val="center"/>
          </w:tcPr>
          <w:p>
            <w:r>
              <w:rPr>
                <w:b w:val="false"/>
                <w:bCs w:val="false"/>
                <w:sz w:val="17"/>
                <w:szCs w:val="17"/>
              </w:rPr>
              <w:t xml:space="preserve">Donantes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UC-12</w:t>
            </w:r>
          </w:p>
        </w:tc>
      </w:tr>
      <w:tr>
        <w:tc>
          <w:tcPr>
            <w:tcW w:type="dxa" w:w="500"/>
            <w:tcMar>
              <w:top w:type="dxa" w:w="60"/>
              <w:left w:type="dxa" w:w="80"/>
              <w:bottom w:type="dxa" w:w="60"/>
              <w:right w:type="dxa" w:w="80"/>
            </w:tcMar>
            <w:vAlign w:val="center"/>
          </w:tcPr>
          <w:p>
            <w:r>
              <w:rPr>
                <w:b w:val="false"/>
                <w:bCs w:val="false"/>
                <w:sz w:val="17"/>
                <w:szCs w:val="17"/>
              </w:rPr>
              <w:t xml:space="preserve">6</w:t>
            </w:r>
          </w:p>
        </w:tc>
        <w:tc>
          <w:tcPr>
            <w:tcW w:type="dxa" w:w="3600"/>
            <w:tcMar>
              <w:top w:type="dxa" w:w="60"/>
              <w:left w:type="dxa" w:w="80"/>
              <w:bottom w:type="dxa" w:w="60"/>
              <w:right w:type="dxa" w:w="80"/>
            </w:tcMar>
            <w:vAlign w:val="center"/>
          </w:tcPr>
          <w:p>
            <w:r>
              <w:rPr>
                <w:b w:val="false"/>
                <w:bCs w:val="false"/>
                <w:sz w:val="17"/>
                <w:szCs w:val="17"/>
              </w:rPr>
              <w:t xml:space="preserve">Donantes — Registrar recepción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UC-09, UC-10, UC-11</w:t>
            </w:r>
          </w:p>
        </w:tc>
      </w:tr>
      <w:tr>
        <w:tc>
          <w:tcPr>
            <w:tcW w:type="dxa" w:w="500"/>
            <w:tcMar>
              <w:top w:type="dxa" w:w="60"/>
              <w:left w:type="dxa" w:w="80"/>
              <w:bottom w:type="dxa" w:w="60"/>
              <w:right w:type="dxa" w:w="80"/>
            </w:tcMar>
            <w:vAlign w:val="center"/>
          </w:tcPr>
          <w:p>
            <w:r>
              <w:rPr>
                <w:b w:val="false"/>
                <w:bCs w:val="false"/>
                <w:sz w:val="17"/>
                <w:szCs w:val="17"/>
              </w:rPr>
              <w:t xml:space="preserve">7</w:t>
            </w:r>
          </w:p>
        </w:tc>
        <w:tc>
          <w:tcPr>
            <w:tcW w:type="dxa" w:w="3600"/>
            <w:tcMar>
              <w:top w:type="dxa" w:w="60"/>
              <w:left w:type="dxa" w:w="80"/>
              <w:bottom w:type="dxa" w:w="60"/>
              <w:right w:type="dxa" w:w="80"/>
            </w:tcMar>
            <w:vAlign w:val="center"/>
          </w:tcPr>
          <w:p>
            <w:r>
              <w:rPr>
                <w:b w:val="false"/>
                <w:bCs w:val="false"/>
                <w:sz w:val="17"/>
                <w:szCs w:val="17"/>
              </w:rPr>
              <w:t xml:space="preserve">Inventario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UC-13</w:t>
            </w:r>
          </w:p>
        </w:tc>
      </w:tr>
      <w:tr>
        <w:tc>
          <w:tcPr>
            <w:tcW w:type="dxa" w:w="500"/>
            <w:tcMar>
              <w:top w:type="dxa" w:w="60"/>
              <w:left w:type="dxa" w:w="80"/>
              <w:bottom w:type="dxa" w:w="60"/>
              <w:right w:type="dxa" w:w="80"/>
            </w:tcMar>
            <w:vAlign w:val="center"/>
          </w:tcPr>
          <w:p>
            <w:r>
              <w:rPr>
                <w:b w:val="false"/>
                <w:bCs w:val="false"/>
                <w:sz w:val="17"/>
                <w:szCs w:val="17"/>
              </w:rPr>
              <w:t xml:space="preserve">8</w:t>
            </w:r>
          </w:p>
        </w:tc>
        <w:tc>
          <w:tcPr>
            <w:tcW w:type="dxa" w:w="3600"/>
            <w:tcMar>
              <w:top w:type="dxa" w:w="60"/>
              <w:left w:type="dxa" w:w="80"/>
              <w:bottom w:type="dxa" w:w="60"/>
              <w:right w:type="dxa" w:w="80"/>
            </w:tcMar>
            <w:vAlign w:val="center"/>
          </w:tcPr>
          <w:p>
            <w:r>
              <w:rPr>
                <w:b w:val="false"/>
                <w:bCs w:val="false"/>
                <w:sz w:val="17"/>
                <w:szCs w:val="17"/>
              </w:rPr>
              <w:t xml:space="preserve">Asignación — Match y asignar marco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UC-14, UC-15</w:t>
            </w:r>
          </w:p>
        </w:tc>
      </w:tr>
      <w:tr>
        <w:tc>
          <w:tcPr>
            <w:tcW w:type="dxa" w:w="500"/>
            <w:tcMar>
              <w:top w:type="dxa" w:w="60"/>
              <w:left w:type="dxa" w:w="80"/>
              <w:bottom w:type="dxa" w:w="60"/>
              <w:right w:type="dxa" w:w="80"/>
            </w:tcMar>
            <w:vAlign w:val="center"/>
          </w:tcPr>
          <w:p>
            <w:r>
              <w:rPr>
                <w:b w:val="false"/>
                <w:bCs w:val="false"/>
                <w:sz w:val="17"/>
                <w:szCs w:val="17"/>
              </w:rPr>
              <w:t xml:space="preserve">9</w:t>
            </w:r>
          </w:p>
        </w:tc>
        <w:tc>
          <w:tcPr>
            <w:tcW w:type="dxa" w:w="3600"/>
            <w:tcMar>
              <w:top w:type="dxa" w:w="60"/>
              <w:left w:type="dxa" w:w="80"/>
              <w:bottom w:type="dxa" w:w="60"/>
              <w:right w:type="dxa" w:w="80"/>
            </w:tcMar>
            <w:vAlign w:val="center"/>
          </w:tcPr>
          <w:p>
            <w:r>
              <w:rPr>
                <w:b w:val="false"/>
                <w:bCs w:val="false"/>
                <w:sz w:val="17"/>
                <w:szCs w:val="17"/>
              </w:rPr>
              <w:t xml:space="preserve">Trazabilidad de la asignación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UC-16</w:t>
            </w:r>
          </w:p>
        </w:tc>
      </w:tr>
      <w:tr>
        <w:tc>
          <w:tcPr>
            <w:tcW w:type="dxa" w:w="500"/>
            <w:tcMar>
              <w:top w:type="dxa" w:w="60"/>
              <w:left w:type="dxa" w:w="80"/>
              <w:bottom w:type="dxa" w:w="60"/>
              <w:right w:type="dxa" w:w="80"/>
            </w:tcMar>
            <w:vAlign w:val="center"/>
          </w:tcPr>
          <w:p>
            <w:r>
              <w:rPr>
                <w:b w:val="false"/>
                <w:bCs w:val="false"/>
                <w:sz w:val="17"/>
                <w:szCs w:val="17"/>
              </w:rPr>
              <w:t xml:space="preserve">10</w:t>
            </w:r>
          </w:p>
        </w:tc>
        <w:tc>
          <w:tcPr>
            <w:tcW w:type="dxa" w:w="3600"/>
            <w:tcMar>
              <w:top w:type="dxa" w:w="60"/>
              <w:left w:type="dxa" w:w="80"/>
              <w:bottom w:type="dxa" w:w="60"/>
              <w:right w:type="dxa" w:w="80"/>
            </w:tcMar>
            <w:vAlign w:val="center"/>
          </w:tcPr>
          <w:p>
            <w:r>
              <w:rPr>
                <w:b w:val="false"/>
                <w:bCs w:val="false"/>
                <w:sz w:val="17"/>
                <w:szCs w:val="17"/>
              </w:rPr>
              <w:t xml:space="preserve">Probador virtual</w:t>
            </w:r>
          </w:p>
        </w:tc>
        <w:tc>
          <w:tcPr>
            <w:tcW w:type="dxa" w:w="2200"/>
            <w:tcMar>
              <w:top w:type="dxa" w:w="60"/>
              <w:left w:type="dxa" w:w="80"/>
              <w:bottom w:type="dxa" w:w="60"/>
              <w:right w:type="dxa" w:w="80"/>
            </w:tcMar>
            <w:vAlign w:val="center"/>
          </w:tcPr>
          <w:p>
            <w:r>
              <w:rPr>
                <w:b w:val="false"/>
                <w:bCs w:val="false"/>
                <w:sz w:val="17"/>
                <w:szCs w:val="17"/>
              </w:rPr>
              <w:t xml:space="preserve">Beneficiario / Operador</w:t>
            </w:r>
          </w:p>
        </w:tc>
        <w:tc>
          <w:tcPr>
            <w:tcW w:type="dxa" w:w="3780"/>
            <w:tcMar>
              <w:top w:type="dxa" w:w="60"/>
              <w:left w:type="dxa" w:w="80"/>
              <w:bottom w:type="dxa" w:w="60"/>
              <w:right w:type="dxa" w:w="80"/>
            </w:tcMar>
            <w:vAlign w:val="center"/>
          </w:tcPr>
          <w:p>
            <w:r>
              <w:rPr>
                <w:b w:val="false"/>
                <w:bCs w:val="false"/>
                <w:sz w:val="17"/>
                <w:szCs w:val="17"/>
              </w:rPr>
              <w:t xml:space="preserve">UC-17, UC-18, UC-19</w:t>
            </w:r>
          </w:p>
        </w:tc>
      </w:tr>
      <w:tr>
        <w:tc>
          <w:tcPr>
            <w:tcW w:type="dxa" w:w="500"/>
            <w:tcMar>
              <w:top w:type="dxa" w:w="60"/>
              <w:left w:type="dxa" w:w="80"/>
              <w:bottom w:type="dxa" w:w="60"/>
              <w:right w:type="dxa" w:w="80"/>
            </w:tcMar>
            <w:vAlign w:val="center"/>
          </w:tcPr>
          <w:p>
            <w:r>
              <w:rPr>
                <w:b w:val="false"/>
                <w:bCs w:val="false"/>
                <w:sz w:val="17"/>
                <w:szCs w:val="17"/>
              </w:rPr>
              <w:t xml:space="preserve">11</w:t>
            </w:r>
          </w:p>
        </w:tc>
        <w:tc>
          <w:tcPr>
            <w:tcW w:type="dxa" w:w="3600"/>
            <w:tcMar>
              <w:top w:type="dxa" w:w="60"/>
              <w:left w:type="dxa" w:w="80"/>
              <w:bottom w:type="dxa" w:w="60"/>
              <w:right w:type="dxa" w:w="80"/>
            </w:tcMar>
            <w:vAlign w:val="center"/>
          </w:tcPr>
          <w:p>
            <w:r>
              <w:rPr>
                <w:b w:val="false"/>
                <w:bCs w:val="false"/>
                <w:sz w:val="17"/>
                <w:szCs w:val="17"/>
              </w:rPr>
              <w:t xml:space="preserve">Turnos — Agenda del staff</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UC-20, UC-21, UC-22</w:t>
            </w:r>
          </w:p>
        </w:tc>
      </w:tr>
      <w:tr>
        <w:tc>
          <w:tcPr>
            <w:tcW w:type="dxa" w:w="500"/>
            <w:tcMar>
              <w:top w:type="dxa" w:w="60"/>
              <w:left w:type="dxa" w:w="80"/>
              <w:bottom w:type="dxa" w:w="60"/>
              <w:right w:type="dxa" w:w="80"/>
            </w:tcMar>
            <w:vAlign w:val="center"/>
          </w:tcPr>
          <w:p>
            <w:r>
              <w:rPr>
                <w:b w:val="false"/>
                <w:bCs w:val="false"/>
                <w:sz w:val="17"/>
                <w:szCs w:val="17"/>
              </w:rPr>
              <w:t xml:space="preserve">12</w:t>
            </w:r>
          </w:p>
        </w:tc>
        <w:tc>
          <w:tcPr>
            <w:tcW w:type="dxa" w:w="3600"/>
            <w:tcMar>
              <w:top w:type="dxa" w:w="60"/>
              <w:left w:type="dxa" w:w="80"/>
              <w:bottom w:type="dxa" w:w="60"/>
              <w:right w:type="dxa" w:w="80"/>
            </w:tcMar>
            <w:vAlign w:val="center"/>
          </w:tcPr>
          <w:p>
            <w:r>
              <w:rPr>
                <w:b w:val="false"/>
                <w:bCs w:val="false"/>
                <w:sz w:val="17"/>
                <w:szCs w:val="17"/>
              </w:rPr>
              <w:t xml:space="preserve">Autogestión — Mis turnos</w:t>
            </w:r>
          </w:p>
        </w:tc>
        <w:tc>
          <w:tcPr>
            <w:tcW w:type="dxa" w:w="22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UC-20, UC-20b, UC-21</w:t>
            </w:r>
          </w:p>
        </w:tc>
      </w:tr>
      <w:tr>
        <w:tc>
          <w:tcPr>
            <w:tcW w:type="dxa" w:w="500"/>
            <w:tcMar>
              <w:top w:type="dxa" w:w="60"/>
              <w:left w:type="dxa" w:w="80"/>
              <w:bottom w:type="dxa" w:w="60"/>
              <w:right w:type="dxa" w:w="80"/>
            </w:tcMar>
            <w:vAlign w:val="center"/>
          </w:tcPr>
          <w:p>
            <w:r>
              <w:rPr>
                <w:b w:val="false"/>
                <w:bCs w:val="false"/>
                <w:sz w:val="17"/>
                <w:szCs w:val="17"/>
              </w:rPr>
              <w:t xml:space="preserve">13</w:t>
            </w:r>
          </w:p>
        </w:tc>
        <w:tc>
          <w:tcPr>
            <w:tcW w:type="dxa" w:w="3600"/>
            <w:tcMar>
              <w:top w:type="dxa" w:w="60"/>
              <w:left w:type="dxa" w:w="80"/>
              <w:bottom w:type="dxa" w:w="60"/>
              <w:right w:type="dxa" w:w="80"/>
            </w:tcMar>
            <w:vAlign w:val="center"/>
          </w:tcPr>
          <w:p>
            <w:r>
              <w:rPr>
                <w:b w:val="false"/>
                <w:bCs w:val="false"/>
                <w:sz w:val="17"/>
                <w:szCs w:val="17"/>
              </w:rPr>
              <w:t xml:space="preserve">Logística — Envíos entre sucursales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UC-23, UC-24, UC-25</w:t>
            </w:r>
          </w:p>
        </w:tc>
      </w:tr>
      <w:tr>
        <w:tc>
          <w:tcPr>
            <w:tcW w:type="dxa" w:w="500"/>
            <w:tcMar>
              <w:top w:type="dxa" w:w="60"/>
              <w:left w:type="dxa" w:w="80"/>
              <w:bottom w:type="dxa" w:w="60"/>
              <w:right w:type="dxa" w:w="80"/>
            </w:tcMar>
            <w:vAlign w:val="center"/>
          </w:tcPr>
          <w:p>
            <w:r>
              <w:rPr>
                <w:b w:val="false"/>
                <w:bCs w:val="false"/>
                <w:sz w:val="17"/>
                <w:szCs w:val="17"/>
              </w:rPr>
              <w:t xml:space="preserve">14</w:t>
            </w:r>
          </w:p>
        </w:tc>
        <w:tc>
          <w:tcPr>
            <w:tcW w:type="dxa" w:w="3600"/>
            <w:tcMar>
              <w:top w:type="dxa" w:w="60"/>
              <w:left w:type="dxa" w:w="80"/>
              <w:bottom w:type="dxa" w:w="60"/>
              <w:right w:type="dxa" w:w="80"/>
            </w:tcMar>
            <w:vAlign w:val="center"/>
          </w:tcPr>
          <w:p>
            <w:r>
              <w:rPr>
                <w:b w:val="false"/>
                <w:bCs w:val="false"/>
                <w:sz w:val="17"/>
                <w:szCs w:val="17"/>
              </w:rPr>
              <w:t xml:space="preserve">Panel de indicadores de impacto</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UC-26, UC-27</w:t>
            </w:r>
          </w:p>
        </w:tc>
      </w:tr>
      <w:tr>
        <w:tc>
          <w:tcPr>
            <w:tcW w:type="dxa" w:w="500"/>
            <w:tcMar>
              <w:top w:type="dxa" w:w="60"/>
              <w:left w:type="dxa" w:w="80"/>
              <w:bottom w:type="dxa" w:w="60"/>
              <w:right w:type="dxa" w:w="80"/>
            </w:tcMar>
            <w:vAlign w:val="center"/>
          </w:tcPr>
          <w:p>
            <w:r>
              <w:rPr>
                <w:b w:val="false"/>
                <w:bCs w:val="false"/>
                <w:sz w:val="17"/>
                <w:szCs w:val="17"/>
              </w:rPr>
              <w:t xml:space="preserve">15</w:t>
            </w:r>
          </w:p>
        </w:tc>
        <w:tc>
          <w:tcPr>
            <w:tcW w:type="dxa" w:w="3600"/>
            <w:tcMar>
              <w:top w:type="dxa" w:w="60"/>
              <w:left w:type="dxa" w:w="80"/>
              <w:bottom w:type="dxa" w:w="60"/>
              <w:right w:type="dxa" w:w="80"/>
            </w:tcMar>
            <w:vAlign w:val="center"/>
          </w:tcPr>
          <w:p>
            <w:r>
              <w:rPr>
                <w:b w:val="false"/>
                <w:bCs w:val="false"/>
                <w:sz w:val="17"/>
                <w:szCs w:val="17"/>
              </w:rPr>
              <w:t xml:space="preserve">Catálogo público de anteojos de sol</w:t>
            </w:r>
          </w:p>
        </w:tc>
        <w:tc>
          <w:tcPr>
            <w:tcW w:type="dxa" w:w="2200"/>
            <w:tcMar>
              <w:top w:type="dxa" w:w="60"/>
              <w:left w:type="dxa" w:w="80"/>
              <w:bottom w:type="dxa" w:w="60"/>
              <w:right w:type="dxa" w:w="80"/>
            </w:tcMar>
            <w:vAlign w:val="center"/>
          </w:tcPr>
          <w:p>
            <w:r>
              <w:rPr>
                <w:b w:val="false"/>
                <w:bCs w:val="false"/>
                <w:sz w:val="17"/>
                <w:szCs w:val="17"/>
              </w:rPr>
              <w:t xml:space="preserve">Comprador</w:t>
            </w:r>
          </w:p>
        </w:tc>
        <w:tc>
          <w:tcPr>
            <w:tcW w:type="dxa" w:w="3780"/>
            <w:tcMar>
              <w:top w:type="dxa" w:w="60"/>
              <w:left w:type="dxa" w:w="80"/>
              <w:bottom w:type="dxa" w:w="60"/>
              <w:right w:type="dxa" w:w="80"/>
            </w:tcMar>
            <w:vAlign w:val="center"/>
          </w:tcPr>
          <w:p>
            <w:r>
              <w:rPr>
                <w:b w:val="false"/>
                <w:bCs w:val="false"/>
                <w:sz w:val="17"/>
                <w:szCs w:val="17"/>
              </w:rPr>
              <w:t xml:space="preserve">UC-28</w:t>
            </w:r>
          </w:p>
        </w:tc>
      </w:tr>
      <w:tr>
        <w:tc>
          <w:tcPr>
            <w:tcW w:type="dxa" w:w="500"/>
            <w:tcMar>
              <w:top w:type="dxa" w:w="60"/>
              <w:left w:type="dxa" w:w="80"/>
              <w:bottom w:type="dxa" w:w="60"/>
              <w:right w:type="dxa" w:w="80"/>
            </w:tcMar>
            <w:vAlign w:val="center"/>
          </w:tcPr>
          <w:p>
            <w:r>
              <w:rPr>
                <w:b w:val="false"/>
                <w:bCs w:val="false"/>
                <w:sz w:val="17"/>
                <w:szCs w:val="17"/>
              </w:rPr>
              <w:t xml:space="preserve">16</w:t>
            </w:r>
          </w:p>
        </w:tc>
        <w:tc>
          <w:tcPr>
            <w:tcW w:type="dxa" w:w="3600"/>
            <w:tcMar>
              <w:top w:type="dxa" w:w="60"/>
              <w:left w:type="dxa" w:w="80"/>
              <w:bottom w:type="dxa" w:w="60"/>
              <w:right w:type="dxa" w:w="80"/>
            </w:tcMar>
            <w:vAlign w:val="center"/>
          </w:tcPr>
          <w:p>
            <w:r>
              <w:rPr>
                <w:b w:val="false"/>
                <w:bCs w:val="false"/>
                <w:sz w:val="17"/>
                <w:szCs w:val="17"/>
              </w:rPr>
              <w:t xml:space="preserve">Catálogo — Gestión de stock y ventas</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UC-29, UC-30</w:t>
            </w:r>
          </w:p>
        </w:tc>
      </w:tr>
    </w:tbl>
    <w:p>
      <w:r>
        <w:br w:type="page"/>
      </w:r>
    </w:p>
    <w:p>
      <w:pPr>
        <w:pStyle w:val="Heading1"/>
        <w:spacing w:after="200" w:before="400"/>
      </w:pPr>
      <w:r>
        <w:t xml:space="preserve">1. Inicio de sesión</w:t>
      </w:r>
    </w:p>
    <w:p>
      <w:pPr>
        <w:spacing w:after="120"/>
      </w:pPr>
      <w:r>
        <w:rPr>
          <w:i/>
          <w:iCs/>
          <w:color w:val="555555"/>
          <w:sz w:val="20"/>
          <w:szCs w:val="20"/>
        </w:rPr>
        <w:t xml:space="preserve">Rol: Todos  ·  Casos de uso: RNF-01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Inicio de sesión</w:t>
      </w:r>
    </w:p>
    <w:p>
      <w:pPr>
        <w:pStyle w:val="Heading1"/>
        <w:spacing w:after="200" w:before="400"/>
      </w:pPr>
      <w:r>
        <w:t xml:space="preserve">2. Inicio (panel del Operador)</w:t>
      </w:r>
    </w:p>
    <w:p>
      <w:pPr>
        <w:spacing w:after="120"/>
      </w:pPr>
      <w:r>
        <w:rPr>
          <w:i/>
          <w:iCs/>
          <w:color w:val="555555"/>
          <w:sz w:val="20"/>
          <w:szCs w:val="20"/>
        </w:rPr>
        <w:t xml:space="preserve">Rol: Operador  ·  Casos de uso: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1"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 — Inicio (panel del Operador)</w:t>
      </w:r>
    </w:p>
    <w:p>
      <w:pPr>
        <w:pStyle w:val="Heading1"/>
        <w:spacing w:after="200" w:before="400"/>
      </w:pPr>
      <w:r>
        <w:t xml:space="preserve">3. Solicitantes — Listado</w:t>
      </w:r>
    </w:p>
    <w:p>
      <w:pPr>
        <w:spacing w:after="120"/>
      </w:pPr>
      <w:r>
        <w:rPr>
          <w:i/>
          <w:iCs/>
          <w:color w:val="555555"/>
          <w:sz w:val="20"/>
          <w:szCs w:val="20"/>
        </w:rPr>
        <w:t xml:space="preserve">Rol: Operador  ·  Casos de uso: UC-08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3 — Solicitantes — Listado</w:t>
      </w:r>
    </w:p>
    <w:p>
      <w:pPr>
        <w:pStyle w:val="Heading1"/>
        <w:spacing w:after="200" w:before="400"/>
      </w:pPr>
      <w:r>
        <w:t xml:space="preserve">4. Solicitantes — Alta / Detalle y validación</w:t>
      </w:r>
    </w:p>
    <w:p>
      <w:pPr>
        <w:spacing w:after="120"/>
      </w:pPr>
      <w:r>
        <w:rPr>
          <w:i/>
          <w:iCs/>
          <w:color w:val="555555"/>
          <w:sz w:val="20"/>
          <w:szCs w:val="20"/>
        </w:rPr>
        <w:t xml:space="preserve">Rol: Operador  ·  Casos de uso: UC-01, UC-02, UC-06, UC-03, UC-04, UC-05, UC-07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23"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4 — Solicitantes — Alta / Detalle y validación</w:t>
      </w:r>
    </w:p>
    <w:p>
      <w:pPr>
        <w:pStyle w:val="Heading1"/>
        <w:spacing w:after="200" w:before="400"/>
      </w:pPr>
      <w:r>
        <w:t xml:space="preserve">5. Donantes — Listado</w:t>
      </w:r>
    </w:p>
    <w:p>
      <w:pPr>
        <w:spacing w:after="120"/>
      </w:pPr>
      <w:r>
        <w:rPr>
          <w:i/>
          <w:iCs/>
          <w:color w:val="555555"/>
          <w:sz w:val="20"/>
          <w:szCs w:val="20"/>
        </w:rPr>
        <w:t xml:space="preserve">Rol: Operador  ·  Casos de uso: UC-12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24"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5 — Donantes — Listado</w:t>
      </w:r>
    </w:p>
    <w:p>
      <w:pPr>
        <w:pStyle w:val="Heading1"/>
        <w:spacing w:after="200" w:before="400"/>
      </w:pPr>
      <w:r>
        <w:t xml:space="preserve">6. Donantes — Registrar recepción de marcos</w:t>
      </w:r>
    </w:p>
    <w:p>
      <w:pPr>
        <w:spacing w:after="120"/>
      </w:pPr>
      <w:r>
        <w:rPr>
          <w:i/>
          <w:iCs/>
          <w:color w:val="555555"/>
          <w:sz w:val="20"/>
          <w:szCs w:val="20"/>
        </w:rPr>
        <w:t xml:space="preserve">Rol: Operador  ·  Casos de uso: UC-09, UC-10, UC-11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25"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6 — Donantes — Registrar recepción de marcos</w:t>
      </w:r>
    </w:p>
    <w:p>
      <w:pPr>
        <w:pStyle w:val="Heading1"/>
        <w:spacing w:after="200" w:before="400"/>
      </w:pPr>
      <w:r>
        <w:t xml:space="preserve">7. Inventario de marcos</w:t>
      </w:r>
    </w:p>
    <w:p>
      <w:pPr>
        <w:spacing w:after="120"/>
      </w:pPr>
      <w:r>
        <w:rPr>
          <w:i/>
          <w:iCs/>
          <w:color w:val="555555"/>
          <w:sz w:val="20"/>
          <w:szCs w:val="20"/>
        </w:rPr>
        <w:t xml:space="preserve">Rol: Operador  ·  Casos de uso: UC-13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26"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7 — Inventario de marcos</w:t>
      </w:r>
    </w:p>
    <w:p>
      <w:pPr>
        <w:pStyle w:val="Heading1"/>
        <w:spacing w:after="200" w:before="400"/>
      </w:pPr>
      <w:r>
        <w:t xml:space="preserve">8. Asignación — Match y asignar marco</w:t>
      </w:r>
    </w:p>
    <w:p>
      <w:pPr>
        <w:spacing w:after="120"/>
      </w:pPr>
      <w:r>
        <w:rPr>
          <w:i/>
          <w:iCs/>
          <w:color w:val="555555"/>
          <w:sz w:val="20"/>
          <w:szCs w:val="20"/>
        </w:rPr>
        <w:t xml:space="preserve">Rol: Operador  ·  Casos de uso: UC-14,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27"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8 — Asignación — Match y asignar marco</w:t>
      </w:r>
    </w:p>
    <w:p>
      <w:pPr>
        <w:pStyle w:val="Heading1"/>
        <w:spacing w:after="200" w:before="400"/>
      </w:pPr>
      <w:r>
        <w:t xml:space="preserve">9. Trazabilidad de la asignación</w:t>
      </w:r>
    </w:p>
    <w:p>
      <w:pPr>
        <w:spacing w:after="120"/>
      </w:pPr>
      <w:r>
        <w:rPr>
          <w:i/>
          <w:iCs/>
          <w:color w:val="555555"/>
          <w:sz w:val="20"/>
          <w:szCs w:val="20"/>
        </w:rPr>
        <w:t xml:space="preserve">Rol: Operador  ·  Casos de uso: UC-16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28"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9 — Trazabilidad de la asignación</w:t>
      </w:r>
    </w:p>
    <w:p>
      <w:pPr>
        <w:pStyle w:val="Heading1"/>
        <w:spacing w:after="200" w:before="400"/>
      </w:pPr>
      <w:r>
        <w:t xml:space="preserve">10. Probador virtual</w:t>
      </w:r>
    </w:p>
    <w:p>
      <w:pPr>
        <w:spacing w:after="120"/>
      </w:pPr>
      <w:r>
        <w:rPr>
          <w:i/>
          <w:iCs/>
          <w:color w:val="555555"/>
          <w:sz w:val="20"/>
          <w:szCs w:val="20"/>
        </w:rPr>
        <w:t xml:space="preserve">Rol: Beneficiario / Operador  ·  Casos de uso: UC-17, UC-18, UC-19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29"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10 — Probador virtual</w:t>
      </w:r>
    </w:p>
    <w:p>
      <w:pPr>
        <w:pStyle w:val="Heading1"/>
        <w:spacing w:after="200" w:before="400"/>
      </w:pPr>
      <w:r>
        <w:t xml:space="preserve">11. Turnos — Agenda del staff</w:t>
      </w:r>
    </w:p>
    <w:p>
      <w:pPr>
        <w:spacing w:after="120"/>
      </w:pPr>
      <w:r>
        <w:rPr>
          <w:i/>
          <w:iCs/>
          <w:color w:val="555555"/>
          <w:sz w:val="20"/>
          <w:szCs w:val="20"/>
        </w:rPr>
        <w:t xml:space="preserve">Rol: Operador  ·  Casos de uso: UC-20, UC-21, UC-22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0"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11 — Turnos — Agenda del staff</w:t>
      </w:r>
    </w:p>
    <w:p>
      <w:pPr>
        <w:pStyle w:val="Heading1"/>
        <w:spacing w:after="200" w:before="400"/>
      </w:pPr>
      <w:r>
        <w:t xml:space="preserve">12. Autogestión — Mis turnos</w:t>
      </w:r>
    </w:p>
    <w:p>
      <w:pPr>
        <w:spacing w:after="120"/>
      </w:pPr>
      <w:r>
        <w:rPr>
          <w:i/>
          <w:iCs/>
          <w:color w:val="555555"/>
          <w:sz w:val="20"/>
          <w:szCs w:val="20"/>
        </w:rPr>
        <w:t xml:space="preserve">Rol: Beneficiario  ·  Casos de uso: UC-20, UC-20b, UC-21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1"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12 — Autogestión — Mis turnos</w:t>
      </w:r>
    </w:p>
    <w:p>
      <w:pPr>
        <w:pStyle w:val="Heading1"/>
        <w:spacing w:after="200" w:before="400"/>
      </w:pPr>
      <w:r>
        <w:t xml:space="preserve">13. Logística — Envíos entre sucursales</w:t>
      </w:r>
    </w:p>
    <w:p>
      <w:pPr>
        <w:spacing w:after="120"/>
      </w:pPr>
      <w:r>
        <w:rPr>
          <w:i/>
          <w:iCs/>
          <w:color w:val="555555"/>
          <w:sz w:val="20"/>
          <w:szCs w:val="20"/>
        </w:rPr>
        <w:t xml:space="preserve">Rol: Operador  ·  Casos de uso: UC-23, UC-24, UC-25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2"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13 — Logística — Envíos entre sucursales</w:t>
      </w:r>
    </w:p>
    <w:p>
      <w:pPr>
        <w:pStyle w:val="Heading1"/>
        <w:spacing w:after="200" w:before="400"/>
      </w:pPr>
      <w:r>
        <w:t xml:space="preserve">14. Panel de indicadores de impacto</w:t>
      </w:r>
    </w:p>
    <w:p>
      <w:pPr>
        <w:spacing w:after="120"/>
      </w:pPr>
      <w:r>
        <w:rPr>
          <w:i/>
          <w:iCs/>
          <w:color w:val="555555"/>
          <w:sz w:val="20"/>
          <w:szCs w:val="20"/>
        </w:rPr>
        <w:t xml:space="preserve">Rol: Administrador  ·  Casos de uso: UC-26, UC-27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33"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14 — Panel de indicadores de impacto</w:t>
      </w:r>
    </w:p>
    <w:p>
      <w:pPr>
        <w:pStyle w:val="Heading1"/>
        <w:spacing w:after="200" w:before="400"/>
      </w:pPr>
      <w:r>
        <w:t xml:space="preserve">15. Catálogo público de anteojos de sol</w:t>
      </w:r>
    </w:p>
    <w:p>
      <w:pPr>
        <w:spacing w:after="120"/>
      </w:pPr>
      <w:r>
        <w:rPr>
          <w:i/>
          <w:iCs/>
          <w:color w:val="555555"/>
          <w:sz w:val="20"/>
          <w:szCs w:val="20"/>
        </w:rPr>
        <w:t xml:space="preserve">Rol: Comprador  ·  Casos de uso: UC-28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34" cstate="none"/>
                          <a:srcRect/>
                          <a:stretch>
                            <a:fillRect/>
                          </a:stretch>
                        </pic:blipFill>
                        <pic:spPr bwMode="auto">
                          <a:xfrm>
                            <a:off x="0" y="0"/>
                            <a:ext cx="6276975" cy="1581150"/>
                          </a:xfrm>
                          <a:prstGeom prst="rect">
                            <a:avLst/>
                          </a:prstGeom>
                        </pic:spPr>
                      </pic:pic>
                    </a:graphicData>
                  </a:graphic>
                </wp:inline>
              </w:drawing>
            </w:r>
          </w:p>
        </w:tc>
      </w:tr>
    </w:tbl>
    <w:p>
      <w:pPr>
        <w:spacing w:after="260" w:before="100"/>
        <w:jc w:val="center"/>
      </w:pPr>
      <w:r>
        <w:rPr>
          <w:i/>
          <w:iCs/>
          <w:color w:val="555555"/>
          <w:sz w:val="18"/>
          <w:szCs w:val="18"/>
        </w:rPr>
        <w:t xml:space="preserve">Figura 15 — Catálogo público de anteojos de sol</w:t>
      </w:r>
    </w:p>
    <w:p>
      <w:pPr>
        <w:pStyle w:val="Heading1"/>
        <w:spacing w:after="200" w:before="400"/>
      </w:pPr>
      <w:r>
        <w:t xml:space="preserve">16. Catálogo — Gestión de stock y ventas</w:t>
      </w:r>
    </w:p>
    <w:p>
      <w:pPr>
        <w:spacing w:after="120"/>
      </w:pPr>
      <w:r>
        <w:rPr>
          <w:i/>
          <w:iCs/>
          <w:color w:val="555555"/>
          <w:sz w:val="20"/>
          <w:szCs w:val="20"/>
        </w:rPr>
        <w:t xml:space="preserve">Rol: Administrador  ·  Casos de uso: UC-29, UC-30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35" cstate="none"/>
                          <a:srcRect/>
                          <a:stretch>
                            <a:fillRect/>
                          </a:stretch>
                        </pic:blipFill>
                        <pic:spPr bwMode="auto">
                          <a:xfrm>
                            <a:off x="0" y="0"/>
                            <a:ext cx="6276975" cy="2305050"/>
                          </a:xfrm>
                          <a:prstGeom prst="rect">
                            <a:avLst/>
                          </a:prstGeom>
                        </pic:spPr>
                      </pic:pic>
                    </a:graphicData>
                  </a:graphic>
                </wp:inline>
              </w:drawing>
            </w:r>
          </w:p>
        </w:tc>
      </w:tr>
    </w:tbl>
    <w:p>
      <w:pPr>
        <w:spacing w:after="260" w:before="100"/>
        <w:jc w:val="center"/>
      </w:pPr>
      <w:r>
        <w:rPr>
          <w:i/>
          <w:iCs/>
          <w:color w:val="555555"/>
          <w:sz w:val="18"/>
          <w:szCs w:val="18"/>
        </w:rPr>
        <w:t xml:space="preserve">Figura 16 — Catálogo — Gestión de stock y ventas</w:t>
      </w:r>
    </w:p>
    <w:p>
      <w:r>
        <w:br w:type="page"/>
      </w:r>
    </w:p>
    <w:p>
      <w:pPr>
        <w:spacing w:before="1200"/>
      </w:pPr>
    </w:p>
    <w:p>
      <w:pPr>
        <w:spacing w:after="200"/>
        <w:jc w:val="center"/>
      </w:pPr>
      <w:r>
        <w:rPr>
          <w:b/>
          <w:bCs/>
          <w:sz w:val="40"/>
          <w:szCs w:val="40"/>
        </w:rPr>
        <w:t xml:space="preserve">Especificación de Requisitos de Software (SRS)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Basado en IEEE Std 830-1998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D9D9D9" w:color="auto" w:val="clear"/>
            <w:tcMar>
              <w:top w:type="dxa" w:w="60"/>
              <w:left w:type="dxa" w:w="100"/>
              <w:bottom w:type="dxa" w:w="60"/>
              <w:right w:type="dxa" w:w="100"/>
            </w:tcMar>
            <w:vAlign w:val="center"/>
          </w:tcPr>
          <w:p>
            <w:r>
              <w:rPr>
                <w:b/>
                <w:bCs/>
                <w:sz w:val="20"/>
                <w:szCs w:val="20"/>
              </w:rPr>
              <w:t xml:space="preserve">Campo</w:t>
            </w:r>
          </w:p>
        </w:tc>
        <w:tc>
          <w:tcPr>
            <w:tcW w:type="dxa" w:w="6860"/>
            <w:shd w:fill="D9D9D9" w:color="auto" w:val="clear"/>
            <w:tcMar>
              <w:top w:type="dxa" w:w="60"/>
              <w:left w:type="dxa" w:w="100"/>
              <w:bottom w:type="dxa" w:w="60"/>
              <w:right w:type="dxa" w:w="100"/>
            </w:tcMar>
            <w:vAlign w:val="center"/>
          </w:tcPr>
          <w:p>
            <w:r>
              <w:rPr>
                <w:b/>
                <w:bCs/>
                <w:sz w:val="20"/>
                <w:szCs w:val="20"/>
              </w:rPr>
              <w:t xml:space="preserve">Detalle</w:t>
            </w:r>
          </w:p>
        </w:tc>
      </w:tr>
      <w:tr>
        <w:tc>
          <w:tcPr>
            <w:tcW w:type="dxa" w:w="2500"/>
            <w:tcMar>
              <w:top w:type="dxa" w:w="60"/>
              <w:left w:type="dxa" w:w="100"/>
              <w:bottom w:type="dxa" w:w="60"/>
              <w:right w:type="dxa" w:w="100"/>
            </w:tcMar>
            <w:vAlign w:val="center"/>
          </w:tcPr>
          <w:p>
            <w:r>
              <w:rPr>
                <w:b w:val="false"/>
                <w:bCs w:val="false"/>
                <w:sz w:val="20"/>
                <w:szCs w:val="20"/>
              </w:rPr>
              <w:t xml:space="preserve">Proyecto</w:t>
            </w:r>
          </w:p>
        </w:tc>
        <w:tc>
          <w:tcPr>
            <w:tcW w:type="dxa" w:w="6860"/>
            <w:tcMar>
              <w:top w:type="dxa" w:w="60"/>
              <w:left w:type="dxa" w:w="100"/>
              <w:bottom w:type="dxa" w:w="60"/>
              <w:right w:type="dxa" w:w="100"/>
            </w:tcMar>
            <w:vAlign w:val="center"/>
          </w:tcPr>
          <w:p>
            <w:r>
              <w:rPr>
                <w:b w:val="false"/>
                <w:bCs w:val="false"/>
                <w:sz w:val="20"/>
                <w:szCs w:val="20"/>
              </w:rPr>
              <w:t xml:space="preserve">Proyecto Final UTN-FRT 2026 · ID T045</w:t>
            </w:r>
          </w:p>
        </w:tc>
      </w:tr>
      <w:tr>
        <w:tc>
          <w:tcPr>
            <w:tcW w:type="dxa" w:w="2500"/>
            <w:tcMar>
              <w:top w:type="dxa" w:w="60"/>
              <w:left w:type="dxa" w:w="100"/>
              <w:bottom w:type="dxa" w:w="60"/>
              <w:right w:type="dxa" w:w="100"/>
            </w:tcMar>
            <w:vAlign w:val="center"/>
          </w:tcPr>
          <w:p>
            <w:r>
              <w:rPr>
                <w:b w:val="false"/>
                <w:bCs w:val="false"/>
                <w:sz w:val="20"/>
                <w:szCs w:val="20"/>
              </w:rPr>
              <w:t xml:space="preserve">Organización</w:t>
            </w:r>
          </w:p>
        </w:tc>
        <w:tc>
          <w:tcPr>
            <w:tcW w:type="dxa" w:w="6860"/>
            <w:tcMar>
              <w:top w:type="dxa" w:w="60"/>
              <w:left w:type="dxa" w:w="100"/>
              <w:bottom w:type="dxa" w:w="60"/>
              <w:right w:type="dxa" w:w="100"/>
            </w:tcMar>
            <w:vAlign w:val="center"/>
          </w:tcPr>
          <w:p>
            <w:r>
              <w:rPr>
                <w:b w:val="false"/>
                <w:bCs w:val="false"/>
                <w:sz w:val="20"/>
                <w:szCs w:val="20"/>
              </w:rPr>
              <w:t xml:space="preserve">Fundación Hacer Futuro — Chacabuco 27, San Miguel de Tucumán</w:t>
            </w:r>
          </w:p>
        </w:tc>
      </w:tr>
      <w:tr>
        <w:tc>
          <w:tcPr>
            <w:tcW w:type="dxa" w:w="2500"/>
            <w:tcMar>
              <w:top w:type="dxa" w:w="60"/>
              <w:left w:type="dxa" w:w="100"/>
              <w:bottom w:type="dxa" w:w="60"/>
              <w:right w:type="dxa" w:w="100"/>
            </w:tcMar>
            <w:vAlign w:val="center"/>
          </w:tcPr>
          <w:p>
            <w:r>
              <w:rPr>
                <w:b w:val="false"/>
                <w:bCs w:val="false"/>
                <w:sz w:val="20"/>
                <w:szCs w:val="20"/>
              </w:rPr>
              <w:t xml:space="preserve">Versión del documento</w:t>
            </w:r>
          </w:p>
        </w:tc>
        <w:tc>
          <w:tcPr>
            <w:tcW w:type="dxa" w:w="6860"/>
            <w:tcMar>
              <w:top w:type="dxa" w:w="60"/>
              <w:left w:type="dxa" w:w="100"/>
              <w:bottom w:type="dxa" w:w="60"/>
              <w:right w:type="dxa" w:w="100"/>
            </w:tcMar>
            <w:vAlign w:val="center"/>
          </w:tcPr>
          <w:p>
            <w:r>
              <w:rPr>
                <w:b w:val="false"/>
                <w:bCs w:val="false"/>
                <w:sz w:val="20"/>
                <w:szCs w:val="20"/>
              </w:rPr>
              <w:t xml:space="preserve">1.0</w:t>
            </w:r>
          </w:p>
        </w:tc>
      </w:tr>
      <w:tr>
        <w:tc>
          <w:tcPr>
            <w:tcW w:type="dxa" w:w="2500"/>
            <w:tcMar>
              <w:top w:type="dxa" w:w="60"/>
              <w:left w:type="dxa" w:w="100"/>
              <w:bottom w:type="dxa" w:w="60"/>
              <w:right w:type="dxa" w:w="100"/>
            </w:tcMar>
            <w:vAlign w:val="center"/>
          </w:tcPr>
          <w:p>
            <w:r>
              <w:rPr>
                <w:b w:val="false"/>
                <w:bCs w:val="false"/>
                <w:sz w:val="20"/>
                <w:szCs w:val="20"/>
              </w:rPr>
              <w:t xml:space="preserve">Estado</w:t>
            </w:r>
          </w:p>
        </w:tc>
        <w:tc>
          <w:tcPr>
            <w:tcW w:type="dxa" w:w="6860"/>
            <w:tcMar>
              <w:top w:type="dxa" w:w="60"/>
              <w:left w:type="dxa" w:w="100"/>
              <w:bottom w:type="dxa" w:w="60"/>
              <w:right w:type="dxa" w:w="100"/>
            </w:tcMar>
            <w:vAlign w:val="center"/>
          </w:tcPr>
          <w:p>
            <w:r>
              <w:rPr>
                <w:b w:val="false"/>
                <w:bCs w:val="false"/>
                <w:sz w:val="20"/>
                <w:szCs w:val="20"/>
              </w:rPr>
              <w:t xml:space="preserve">Alcance completo del sistema (incluye módulos ya implementados y pendientes)</w:t>
            </w:r>
          </w:p>
        </w:tc>
      </w:tr>
      <w:tr>
        <w:tc>
          <w:tcPr>
            <w:tcW w:type="dxa" w:w="2500"/>
            <w:tcMar>
              <w:top w:type="dxa" w:w="60"/>
              <w:left w:type="dxa" w:w="100"/>
              <w:bottom w:type="dxa" w:w="60"/>
              <w:right w:type="dxa" w:w="100"/>
            </w:tcMar>
            <w:vAlign w:val="center"/>
          </w:tcPr>
          <w:p>
            <w:r>
              <w:rPr>
                <w:b w:val="false"/>
                <w:bCs w:val="false"/>
                <w:sz w:val="20"/>
                <w:szCs w:val="20"/>
              </w:rPr>
              <w:t xml:space="preserve">Fuente de requisitos</w:t>
            </w:r>
          </w:p>
        </w:tc>
        <w:tc>
          <w:tcPr>
            <w:tcW w:type="dxa" w:w="6860"/>
            <w:tcMar>
              <w:top w:type="dxa" w:w="60"/>
              <w:left w:type="dxa" w:w="100"/>
              <w:bottom w:type="dxa" w:w="60"/>
              <w:right w:type="dxa" w:w="100"/>
            </w:tcMar>
            <w:vAlign w:val="center"/>
          </w:tcPr>
          <w:p>
            <w:r>
              <w:rPr>
                <w:b w:val="false"/>
                <w:bCs w:val="false"/>
                <w:sz w:val="20"/>
                <w:szCs w:val="20"/>
              </w:rPr>
              <w:t xml:space="preserve">Declaración de Alcance v4 / Matriz de Trazabilidad v3, consolidados en docs/REQUIREMENTS.md</w:t>
            </w:r>
          </w:p>
        </w:tc>
      </w:tr>
    </w:tbl>
    <w:p>
      <w:r>
        <w:br w:type="page"/>
      </w:r>
    </w:p>
    <w:p>
      <w:pPr>
        <w:pStyle w:val="Heading1"/>
        <w:spacing w:after="200" w:before="400"/>
      </w:pPr>
      <w:r>
        <w:t xml:space="preserve">1. Introducción</w:t>
      </w:r>
    </w:p>
    <w:p>
      <w:pPr>
        <w:pStyle w:val="Heading2"/>
        <w:spacing w:after="150" w:before="300"/>
      </w:pPr>
      <w:r>
        <w:t xml:space="preserve">1.1 Propósito</w:t>
      </w:r>
    </w:p>
    <w:p>
      <w:pPr>
        <w:spacing w:after="120"/>
      </w:pPr>
      <w:r>
        <w:t xml:space="preserve">Este documento especifica los requisitos funcionales y no funcionales del sistema Banco de Anteojos, desarrollado para la Fundación Hacer Futuro. Su propósito es servir como contrato técnico entre el equipo de desarrollo y la cátedra/fundación: define qué debe hacer el sistema, sin prescribir cómo implementarlo (el cómo se documenta en el Documento de Arquitectura de Software).</w:t>
      </w:r>
    </w:p>
    <w:p>
      <w:pPr>
        <w:spacing w:after="120"/>
      </w:pPr>
      <w:r>
        <w:t xml:space="preserve">Está dirigido a: el equipo de desarrollo (como referencia de alcance), la cátedra (como entregable de evaluación) y la fundación (como validación de que el sistema cubre su operatoria real).</w:t>
      </w:r>
    </w:p>
    <w:p>
      <w:pPr>
        <w:pStyle w:val="Heading2"/>
        <w:spacing w:after="150" w:before="300"/>
      </w:pPr>
      <w:r>
        <w:t xml:space="preserve">1.2 Alcance del sistema</w:t>
      </w:r>
    </w:p>
    <w:p>
      <w:pPr>
        <w:spacing w:after="120"/>
      </w:pPr>
      <w:r>
        <w:t xml:space="preserve">El sistema digitaliza la operatoria del Banco de Anteojos, hoy gestionada en papel. Cubre el ciclo completo:</w:t>
      </w:r>
    </w:p>
    <w:p>
      <w:pPr>
        <w:pStyle w:val="ListParagraph"/>
        <w:numPr>
          <w:ilvl w:val="0"/>
          <w:numId w:val="4"/>
        </w:numPr>
        <w:spacing w:after="60"/>
      </w:pPr>
      <w:r>
        <w:t xml:space="preserve">Recepción de donaciones de marcos y registro de donantes.</w:t>
      </w:r>
    </w:p>
    <w:p>
      <w:pPr>
        <w:pStyle w:val="ListParagraph"/>
        <w:numPr>
          <w:ilvl w:val="0"/>
          <w:numId w:val="4"/>
        </w:numPr>
        <w:spacing w:after="60"/>
      </w:pPr>
      <w:r>
        <w:t xml:space="preserve">Registro y validación de elegibilidad de beneficiarios (solicitantes).</w:t>
      </w:r>
    </w:p>
    <w:p>
      <w:pPr>
        <w:pStyle w:val="ListParagraph"/>
        <w:numPr>
          <w:ilvl w:val="0"/>
          <w:numId w:val="4"/>
        </w:numPr>
        <w:spacing w:after="60"/>
      </w:pPr>
      <w:r>
        <w:t xml:space="preserve">Inventario de marcos con clasificación por atributos.</w:t>
      </w:r>
    </w:p>
    <w:p>
      <w:pPr>
        <w:pStyle w:val="ListParagraph"/>
        <w:numPr>
          <w:ilvl w:val="0"/>
          <w:numId w:val="4"/>
        </w:numPr>
        <w:spacing w:after="60"/>
      </w:pPr>
      <w:r>
        <w:t xml:space="preserve">Match entre receta médica y marco disponible, asignación y trazabilidad end-to-end hasta la entrega.</w:t>
      </w:r>
    </w:p>
    <w:p>
      <w:pPr>
        <w:pStyle w:val="ListParagraph"/>
        <w:numPr>
          <w:ilvl w:val="0"/>
          <w:numId w:val="4"/>
        </w:numPr>
        <w:spacing w:after="60"/>
      </w:pPr>
      <w:r>
        <w:t xml:space="preserve">Gestión de turnos de atención y notificaciones asociadas.</w:t>
      </w:r>
    </w:p>
    <w:p>
      <w:pPr>
        <w:pStyle w:val="ListParagraph"/>
        <w:numPr>
          <w:ilvl w:val="0"/>
          <w:numId w:val="4"/>
        </w:numPr>
        <w:spacing w:after="60"/>
      </w:pPr>
      <w:r>
        <w:t xml:space="preserve">Logística de envíos entre sucursales, integrada con el operador de encomiendas Vía Cargo a través de 17TRACK.</w:t>
      </w:r>
    </w:p>
    <w:p>
      <w:pPr>
        <w:pStyle w:val="ListParagraph"/>
        <w:numPr>
          <w:ilvl w:val="0"/>
          <w:numId w:val="4"/>
        </w:numPr>
        <w:spacing w:after="60"/>
      </w:pPr>
      <w:r>
        <w:t xml:space="preserve">Probador virtual de marcos sobre foto estática.</w:t>
      </w:r>
    </w:p>
    <w:p>
      <w:pPr>
        <w:pStyle w:val="ListParagraph"/>
        <w:numPr>
          <w:ilvl w:val="0"/>
          <w:numId w:val="4"/>
        </w:numPr>
        <w:spacing w:after="60"/>
      </w:pPr>
      <w:r>
        <w:t xml:space="preserve">Panel de indicadores de impacto social.</w:t>
      </w:r>
    </w:p>
    <w:p>
      <w:pPr>
        <w:pStyle w:val="ListParagraph"/>
        <w:numPr>
          <w:ilvl w:val="0"/>
          <w:numId w:val="4"/>
        </w:numPr>
        <w:spacing w:after="60"/>
      </w:pPr>
      <w:r>
        <w:t xml:space="preserve">Catálogo de venta de anteojos de sol, como fuente adicional de financiamiento.</w:t>
      </w:r>
    </w:p>
    <w:p>
      <w:pPr>
        <w:spacing w:after="120"/>
      </w:pPr>
      <w:r>
        <w:t xml:space="preserve">Fuera de alcance: procesamiento de pagos online (el bono contribución se valida offline por un operador a partir de un comprobante), realidad aumentada 3D en tiempo real, aplicación móvil nativa, integración directa con Vía Cargo (se realiza vía 17TRACK), y cualquier trámite administrativo externo (el convenio de confronte de datos con RENAPER vía TAD es un trámite de la fundación, no una funcionalidad del sistema).</w:t>
      </w:r>
    </w:p>
    <w:p>
      <w:pPr>
        <w:pStyle w:val="Heading2"/>
        <w:spacing w:after="150" w:before="300"/>
      </w:pPr>
      <w:r>
        <w:t xml:space="preserve">1.3 Definiciones, siglas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Término</w:t>
            </w:r>
          </w:p>
        </w:tc>
        <w:tc>
          <w:tcPr>
            <w:tcW w:type="dxa" w:w="6160"/>
            <w:shd w:fill="D9D9D9" w:color="auto" w:val="clear"/>
            <w:tcMar>
              <w:top w:type="dxa" w:w="60"/>
              <w:left w:type="dxa" w:w="100"/>
              <w:bottom w:type="dxa" w:w="60"/>
              <w:right w:type="dxa" w:w="100"/>
            </w:tcMar>
            <w:vAlign w:val="center"/>
          </w:tcPr>
          <w:p>
            <w:r>
              <w:rPr>
                <w:b/>
                <w:bCs/>
                <w:sz w:val="20"/>
                <w:szCs w:val="20"/>
              </w:rPr>
              <w:t xml:space="preserve">Significado</w:t>
            </w:r>
          </w:p>
        </w:tc>
      </w:tr>
      <w:tr>
        <w:tc>
          <w:tcPr>
            <w:tcW w:type="dxa" w:w="3200"/>
            <w:tcMar>
              <w:top w:type="dxa" w:w="60"/>
              <w:left w:type="dxa" w:w="100"/>
              <w:bottom w:type="dxa" w:w="60"/>
              <w:right w:type="dxa" w:w="100"/>
            </w:tcMar>
            <w:vAlign w:val="center"/>
          </w:tcPr>
          <w:p>
            <w:r>
              <w:rPr>
                <w:b w:val="false"/>
                <w:bCs w:val="false"/>
                <w:sz w:val="20"/>
                <w:szCs w:val="20"/>
              </w:rPr>
              <w:t xml:space="preserve">RF / RNF</w:t>
            </w:r>
          </w:p>
        </w:tc>
        <w:tc>
          <w:tcPr>
            <w:tcW w:type="dxa" w:w="6160"/>
            <w:tcMar>
              <w:top w:type="dxa" w:w="60"/>
              <w:left w:type="dxa" w:w="100"/>
              <w:bottom w:type="dxa" w:w="60"/>
              <w:right w:type="dxa" w:w="100"/>
            </w:tcMar>
            <w:vAlign w:val="center"/>
          </w:tcPr>
          <w:p>
            <w:r>
              <w:rPr>
                <w:b w:val="false"/>
                <w:bCs w:val="false"/>
                <w:sz w:val="20"/>
                <w:szCs w:val="20"/>
              </w:rPr>
              <w:t xml:space="preserve">Requisito Funcional / Requisito No Funcional</w:t>
            </w:r>
          </w:p>
        </w:tc>
      </w:tr>
      <w:tr>
        <w:tc>
          <w:tcPr>
            <w:tcW w:type="dxa" w:w="3200"/>
            <w:tcMar>
              <w:top w:type="dxa" w:w="60"/>
              <w:left w:type="dxa" w:w="100"/>
              <w:bottom w:type="dxa" w:w="60"/>
              <w:right w:type="dxa" w:w="100"/>
            </w:tcMar>
            <w:vAlign w:val="center"/>
          </w:tcPr>
          <w:p>
            <w:r>
              <w:rPr>
                <w:b w:val="false"/>
                <w:bCs w:val="false"/>
                <w:sz w:val="20"/>
                <w:szCs w:val="20"/>
              </w:rPr>
              <w:t xml:space="preserve">Beneficiario / Solicitante (Applicant)</w:t>
            </w:r>
          </w:p>
        </w:tc>
        <w:tc>
          <w:tcPr>
            <w:tcW w:type="dxa" w:w="6160"/>
            <w:tcMar>
              <w:top w:type="dxa" w:w="60"/>
              <w:left w:type="dxa" w:w="100"/>
              <w:bottom w:type="dxa" w:w="60"/>
              <w:right w:type="dxa" w:w="100"/>
            </w:tcMar>
            <w:vAlign w:val="center"/>
          </w:tcPr>
          <w:p>
            <w:r>
              <w:rPr>
                <w:b w:val="false"/>
                <w:bCs w:val="false"/>
                <w:sz w:val="20"/>
                <w:szCs w:val="20"/>
              </w:rPr>
              <w:t xml:space="preserve">Persona sin cobertura médica que solicita anteojos a la fundación</w:t>
            </w:r>
          </w:p>
        </w:tc>
      </w:tr>
      <w:tr>
        <w:tc>
          <w:tcPr>
            <w:tcW w:type="dxa" w:w="3200"/>
            <w:tcMar>
              <w:top w:type="dxa" w:w="60"/>
              <w:left w:type="dxa" w:w="100"/>
              <w:bottom w:type="dxa" w:w="60"/>
              <w:right w:type="dxa" w:w="100"/>
            </w:tcMar>
            <w:vAlign w:val="center"/>
          </w:tcPr>
          <w:p>
            <w:r>
              <w:rPr>
                <w:b w:val="false"/>
                <w:bCs w:val="false"/>
                <w:sz w:val="20"/>
                <w:szCs w:val="20"/>
              </w:rPr>
              <w:t xml:space="preserve">Donante (Donor)</w:t>
            </w:r>
          </w:p>
        </w:tc>
        <w:tc>
          <w:tcPr>
            <w:tcW w:type="dxa" w:w="6160"/>
            <w:tcMar>
              <w:top w:type="dxa" w:w="60"/>
              <w:left w:type="dxa" w:w="100"/>
              <w:bottom w:type="dxa" w:w="60"/>
              <w:right w:type="dxa" w:w="100"/>
            </w:tcMar>
            <w:vAlign w:val="center"/>
          </w:tcPr>
          <w:p>
            <w:r>
              <w:rPr>
                <w:b w:val="false"/>
                <w:bCs w:val="false"/>
                <w:sz w:val="20"/>
                <w:szCs w:val="20"/>
              </w:rPr>
              <w:t xml:space="preserve">Persona o entidad que dona marcos usados</w:t>
            </w:r>
          </w:p>
        </w:tc>
      </w:tr>
      <w:tr>
        <w:tc>
          <w:tcPr>
            <w:tcW w:type="dxa" w:w="3200"/>
            <w:tcMar>
              <w:top w:type="dxa" w:w="60"/>
              <w:left w:type="dxa" w:w="100"/>
              <w:bottom w:type="dxa" w:w="60"/>
              <w:right w:type="dxa" w:w="100"/>
            </w:tcMar>
            <w:vAlign w:val="center"/>
          </w:tcPr>
          <w:p>
            <w:r>
              <w:rPr>
                <w:b w:val="false"/>
                <w:bCs w:val="false"/>
                <w:sz w:val="20"/>
                <w:szCs w:val="20"/>
              </w:rPr>
              <w:t xml:space="preserve">Marco (Frame)</w:t>
            </w:r>
          </w:p>
        </w:tc>
        <w:tc>
          <w:tcPr>
            <w:tcW w:type="dxa" w:w="6160"/>
            <w:tcMar>
              <w:top w:type="dxa" w:w="60"/>
              <w:left w:type="dxa" w:w="100"/>
              <w:bottom w:type="dxa" w:w="60"/>
              <w:right w:type="dxa" w:w="100"/>
            </w:tcMar>
            <w:vAlign w:val="center"/>
          </w:tcPr>
          <w:p>
            <w:r>
              <w:rPr>
                <w:b w:val="false"/>
                <w:bCs w:val="false"/>
                <w:sz w:val="20"/>
                <w:szCs w:val="20"/>
              </w:rPr>
              <w:t xml:space="preserve">Armazón de anteojos donado, sujeto a un ciclo de vida propio en el inventario</w:t>
            </w:r>
          </w:p>
        </w:tc>
      </w:tr>
      <w:tr>
        <w:tc>
          <w:tcPr>
            <w:tcW w:type="dxa" w:w="3200"/>
            <w:tcMar>
              <w:top w:type="dxa" w:w="60"/>
              <w:left w:type="dxa" w:w="100"/>
              <w:bottom w:type="dxa" w:w="60"/>
              <w:right w:type="dxa" w:w="100"/>
            </w:tcMar>
            <w:vAlign w:val="center"/>
          </w:tcPr>
          <w:p>
            <w:r>
              <w:rPr>
                <w:b w:val="false"/>
                <w:bCs w:val="false"/>
                <w:sz w:val="20"/>
                <w:szCs w:val="20"/>
              </w:rPr>
              <w:t xml:space="preserve">Asignación (Assignment)</w:t>
            </w:r>
          </w:p>
        </w:tc>
        <w:tc>
          <w:tcPr>
            <w:tcW w:type="dxa" w:w="6160"/>
            <w:tcMar>
              <w:top w:type="dxa" w:w="60"/>
              <w:left w:type="dxa" w:w="100"/>
              <w:bottom w:type="dxa" w:w="60"/>
              <w:right w:type="dxa" w:w="100"/>
            </w:tcMar>
            <w:vAlign w:val="center"/>
          </w:tcPr>
          <w:p>
            <w:r>
              <w:rPr>
                <w:b w:val="false"/>
                <w:bCs w:val="false"/>
                <w:sz w:val="20"/>
                <w:szCs w:val="20"/>
              </w:rPr>
              <w:t xml:space="preserve">Vínculo entre un beneficiario, su receta y un marco, con trazabilidad hasta la entrega</w:t>
            </w:r>
          </w:p>
        </w:tc>
      </w:tr>
      <w:tr>
        <w:tc>
          <w:tcPr>
            <w:tcW w:type="dxa" w:w="3200"/>
            <w:tcMar>
              <w:top w:type="dxa" w:w="60"/>
              <w:left w:type="dxa" w:w="100"/>
              <w:bottom w:type="dxa" w:w="60"/>
              <w:right w:type="dxa" w:w="100"/>
            </w:tcMar>
            <w:vAlign w:val="center"/>
          </w:tcPr>
          <w:p>
            <w:r>
              <w:rPr>
                <w:b w:val="false"/>
                <w:bCs w:val="false"/>
                <w:sz w:val="20"/>
                <w:szCs w:val="20"/>
              </w:rPr>
              <w:t xml:space="preserve">SID</w:t>
            </w:r>
          </w:p>
        </w:tc>
        <w:tc>
          <w:tcPr>
            <w:tcW w:type="dxa" w:w="6160"/>
            <w:tcMar>
              <w:top w:type="dxa" w:w="60"/>
              <w:left w:type="dxa" w:w="100"/>
              <w:bottom w:type="dxa" w:w="60"/>
              <w:right w:type="dxa" w:w="100"/>
            </w:tcMar>
            <w:vAlign w:val="center"/>
          </w:tcPr>
          <w:p>
            <w:r>
              <w:rPr>
                <w:b w:val="false"/>
                <w:bCs w:val="false"/>
                <w:sz w:val="20"/>
                <w:szCs w:val="20"/>
              </w:rPr>
              <w:t xml:space="preserve">Sistema de Identificación Digital de RENAPER (validación de identidad por DNI)</w:t>
            </w:r>
          </w:p>
        </w:tc>
      </w:tr>
      <w:tr>
        <w:tc>
          <w:tcPr>
            <w:tcW w:type="dxa" w:w="3200"/>
            <w:tcMar>
              <w:top w:type="dxa" w:w="60"/>
              <w:left w:type="dxa" w:w="100"/>
              <w:bottom w:type="dxa" w:w="60"/>
              <w:right w:type="dxa" w:w="100"/>
            </w:tcMar>
            <w:vAlign w:val="center"/>
          </w:tcPr>
          <w:p>
            <w:r>
              <w:rPr>
                <w:b w:val="false"/>
                <w:bCs w:val="false"/>
                <w:sz w:val="20"/>
                <w:szCs w:val="20"/>
              </w:rPr>
              <w:t xml:space="preserve">ANSES — Certificación Negativa</w:t>
            </w:r>
          </w:p>
        </w:tc>
        <w:tc>
          <w:tcPr>
            <w:tcW w:type="dxa" w:w="6160"/>
            <w:tcMar>
              <w:top w:type="dxa" w:w="60"/>
              <w:left w:type="dxa" w:w="100"/>
              <w:bottom w:type="dxa" w:w="60"/>
              <w:right w:type="dxa" w:w="100"/>
            </w:tcMar>
            <w:vAlign w:val="center"/>
          </w:tcPr>
          <w:p>
            <w:r>
              <w:rPr>
                <w:b w:val="false"/>
                <w:bCs w:val="false"/>
                <w:sz w:val="20"/>
                <w:szCs w:val="20"/>
              </w:rPr>
              <w:t xml:space="preserve">Constancia de que la persona no percibe prestación de ANSES, requisito de elegibilidad</w:t>
            </w:r>
          </w:p>
        </w:tc>
      </w:tr>
      <w:tr>
        <w:tc>
          <w:tcPr>
            <w:tcW w:type="dxa" w:w="3200"/>
            <w:tcMar>
              <w:top w:type="dxa" w:w="60"/>
              <w:left w:type="dxa" w:w="100"/>
              <w:bottom w:type="dxa" w:w="60"/>
              <w:right w:type="dxa" w:w="100"/>
            </w:tcMar>
            <w:vAlign w:val="center"/>
          </w:tcPr>
          <w:p>
            <w:r>
              <w:rPr>
                <w:b w:val="false"/>
                <w:bCs w:val="false"/>
                <w:sz w:val="20"/>
                <w:szCs w:val="20"/>
              </w:rPr>
              <w:t xml:space="preserve">TAD</w:t>
            </w:r>
          </w:p>
        </w:tc>
        <w:tc>
          <w:tcPr>
            <w:tcW w:type="dxa" w:w="6160"/>
            <w:tcMar>
              <w:top w:type="dxa" w:w="60"/>
              <w:left w:type="dxa" w:w="100"/>
              <w:bottom w:type="dxa" w:w="60"/>
              <w:right w:type="dxa" w:w="100"/>
            </w:tcMar>
            <w:vAlign w:val="center"/>
          </w:tcPr>
          <w:p>
            <w:r>
              <w:rPr>
                <w:b w:val="false"/>
                <w:bCs w:val="false"/>
                <w:sz w:val="20"/>
                <w:szCs w:val="20"/>
              </w:rPr>
              <w:t xml:space="preserve">Trámites a Distancia (plataforma del Estado Nacional)</w:t>
            </w:r>
          </w:p>
        </w:tc>
      </w:tr>
      <w:tr>
        <w:tc>
          <w:tcPr>
            <w:tcW w:type="dxa" w:w="3200"/>
            <w:tcMar>
              <w:top w:type="dxa" w:w="60"/>
              <w:left w:type="dxa" w:w="100"/>
              <w:bottom w:type="dxa" w:w="60"/>
              <w:right w:type="dxa" w:w="100"/>
            </w:tcMar>
            <w:vAlign w:val="center"/>
          </w:tcPr>
          <w:p>
            <w:r>
              <w:rPr>
                <w:b w:val="false"/>
                <w:bCs w:val="false"/>
                <w:sz w:val="20"/>
                <w:szCs w:val="20"/>
              </w:rPr>
              <w:t xml:space="preserve">17TRACK</w:t>
            </w:r>
          </w:p>
        </w:tc>
        <w:tc>
          <w:tcPr>
            <w:tcW w:type="dxa" w:w="6160"/>
            <w:tcMar>
              <w:top w:type="dxa" w:w="60"/>
              <w:left w:type="dxa" w:w="100"/>
              <w:bottom w:type="dxa" w:w="60"/>
              <w:right w:type="dxa" w:w="100"/>
            </w:tcMar>
            <w:vAlign w:val="center"/>
          </w:tcPr>
          <w:p>
            <w:r>
              <w:rPr>
                <w:b w:val="false"/>
                <w:bCs w:val="false"/>
                <w:sz w:val="20"/>
                <w:szCs w:val="20"/>
              </w:rPr>
              <w:t xml:space="preserve">Servicio de terceros que unifica el tracking de encomiendas de múltiples transportistas, incluido Vía Cargo</w:t>
            </w:r>
          </w:p>
        </w:tc>
      </w:tr>
      <w:tr>
        <w:tc>
          <w:tcPr>
            <w:tcW w:type="dxa" w:w="3200"/>
            <w:tcMar>
              <w:top w:type="dxa" w:w="60"/>
              <w:left w:type="dxa" w:w="100"/>
              <w:bottom w:type="dxa" w:w="60"/>
              <w:right w:type="dxa" w:w="100"/>
            </w:tcMar>
            <w:vAlign w:val="center"/>
          </w:tcPr>
          <w:p>
            <w:r>
              <w:rPr>
                <w:b w:val="false"/>
                <w:bCs w:val="false"/>
                <w:sz w:val="20"/>
                <w:szCs w:val="20"/>
              </w:rPr>
              <w:t xml:space="preserve">Bono contribución</w:t>
            </w:r>
          </w:p>
        </w:tc>
        <w:tc>
          <w:tcPr>
            <w:tcW w:type="dxa" w:w="6160"/>
            <w:tcMar>
              <w:top w:type="dxa" w:w="60"/>
              <w:left w:type="dxa" w:w="100"/>
              <w:bottom w:type="dxa" w:w="60"/>
              <w:right w:type="dxa" w:w="100"/>
            </w:tcMar>
            <w:vAlign w:val="center"/>
          </w:tcPr>
          <w:p>
            <w:r>
              <w:rPr>
                <w:b w:val="false"/>
                <w:bCs w:val="false"/>
                <w:sz w:val="20"/>
                <w:szCs w:val="20"/>
              </w:rPr>
              <w:t xml:space="preserve">Aporte voluntario que el beneficiario transfiere para confirmar su turno de autogestión</w:t>
            </w:r>
          </w:p>
        </w:tc>
      </w:tr>
      <w:tr>
        <w:tc>
          <w:tcPr>
            <w:tcW w:type="dxa" w:w="3200"/>
            <w:tcMar>
              <w:top w:type="dxa" w:w="60"/>
              <w:left w:type="dxa" w:w="100"/>
              <w:bottom w:type="dxa" w:w="60"/>
              <w:right w:type="dxa" w:w="100"/>
            </w:tcMar>
            <w:vAlign w:val="center"/>
          </w:tcPr>
          <w:p>
            <w:r>
              <w:rPr>
                <w:b w:val="false"/>
                <w:bCs w:val="false"/>
                <w:sz w:val="20"/>
                <w:szCs w:val="20"/>
              </w:rPr>
              <w:t xml:space="preserve">ADMIN / OPERATOR / APPLICANT</w:t>
            </w:r>
          </w:p>
        </w:tc>
        <w:tc>
          <w:tcPr>
            <w:tcW w:type="dxa" w:w="6160"/>
            <w:tcMar>
              <w:top w:type="dxa" w:w="60"/>
              <w:left w:type="dxa" w:w="100"/>
              <w:bottom w:type="dxa" w:w="60"/>
              <w:right w:type="dxa" w:w="100"/>
            </w:tcMar>
            <w:vAlign w:val="center"/>
          </w:tcPr>
          <w:p>
            <w:r>
              <w:rPr>
                <w:b w:val="false"/>
                <w:bCs w:val="false"/>
                <w:sz w:val="20"/>
                <w:szCs w:val="20"/>
              </w:rPr>
              <w:t xml:space="preserve">Roles del sistema (ver sección 2.3)</w:t>
            </w:r>
          </w:p>
        </w:tc>
      </w:tr>
      <w:tr>
        <w:tc>
          <w:tcPr>
            <w:tcW w:type="dxa" w:w="3200"/>
            <w:tcMar>
              <w:top w:type="dxa" w:w="60"/>
              <w:left w:type="dxa" w:w="100"/>
              <w:bottom w:type="dxa" w:w="60"/>
              <w:right w:type="dxa" w:w="100"/>
            </w:tcMar>
            <w:vAlign w:val="center"/>
          </w:tcPr>
          <w:p>
            <w:r>
              <w:rPr>
                <w:b w:val="false"/>
                <w:bCs w:val="false"/>
                <w:sz w:val="20"/>
                <w:szCs w:val="20"/>
              </w:rPr>
              <w:t xml:space="preserve">R2</w:t>
            </w:r>
          </w:p>
        </w:tc>
        <w:tc>
          <w:tcPr>
            <w:tcW w:type="dxa" w:w="6160"/>
            <w:tcMar>
              <w:top w:type="dxa" w:w="60"/>
              <w:left w:type="dxa" w:w="100"/>
              <w:bottom w:type="dxa" w:w="60"/>
              <w:right w:type="dxa" w:w="100"/>
            </w:tcMar>
            <w:vAlign w:val="center"/>
          </w:tcPr>
          <w:p>
            <w:r>
              <w:rPr>
                <w:b w:val="false"/>
                <w:bCs w:val="false"/>
                <w:sz w:val="20"/>
                <w:szCs w:val="20"/>
              </w:rPr>
              <w:t xml:space="preserve">Cloudflare R2, almacenamiento de objetos S3-compatible usado para imágenes y PDFs</w:t>
            </w:r>
          </w:p>
        </w:tc>
      </w:tr>
      <w:tr>
        <w:tc>
          <w:tcPr>
            <w:tcW w:type="dxa" w:w="3200"/>
            <w:tcMar>
              <w:top w:type="dxa" w:w="60"/>
              <w:left w:type="dxa" w:w="100"/>
              <w:bottom w:type="dxa" w:w="60"/>
              <w:right w:type="dxa" w:w="100"/>
            </w:tcMar>
            <w:vAlign w:val="center"/>
          </w:tcPr>
          <w:p>
            <w:r>
              <w:rPr>
                <w:b w:val="false"/>
                <w:bCs w:val="false"/>
                <w:sz w:val="20"/>
                <w:szCs w:val="20"/>
              </w:rPr>
              <w:t xml:space="preserve">RENAPER</w:t>
            </w:r>
          </w:p>
        </w:tc>
        <w:tc>
          <w:tcPr>
            <w:tcW w:type="dxa" w:w="6160"/>
            <w:tcMar>
              <w:top w:type="dxa" w:w="60"/>
              <w:left w:type="dxa" w:w="100"/>
              <w:bottom w:type="dxa" w:w="60"/>
              <w:right w:type="dxa" w:w="100"/>
            </w:tcMar>
            <w:vAlign w:val="center"/>
          </w:tcPr>
          <w:p>
            <w:r>
              <w:rPr>
                <w:b w:val="false"/>
                <w:bCs w:val="false"/>
                <w:sz w:val="20"/>
                <w:szCs w:val="20"/>
              </w:rPr>
              <w:t xml:space="preserve">Registro Nacional de las Personas</w:t>
            </w:r>
          </w:p>
        </w:tc>
      </w:tr>
    </w:tbl>
    <w:p>
      <w:pPr>
        <w:pStyle w:val="Heading2"/>
        <w:spacing w:after="150" w:before="300"/>
      </w:pPr>
      <w:r>
        <w:t xml:space="preserve">1.4 Referencias</w:t>
      </w:r>
    </w:p>
    <w:p>
      <w:pPr>
        <w:pStyle w:val="ListParagraph"/>
        <w:numPr>
          <w:ilvl w:val="0"/>
          <w:numId w:val="4"/>
        </w:numPr>
        <w:spacing w:after="60"/>
      </w:pPr>
      <w:r>
        <w:t xml:space="preserve">Declaración de Alcance v4 (documento de cátedra — fuente textual de los criterios de aceptación).</w:t>
      </w:r>
    </w:p>
    <w:p>
      <w:pPr>
        <w:pStyle w:val="ListParagraph"/>
        <w:numPr>
          <w:ilvl w:val="0"/>
          <w:numId w:val="4"/>
        </w:numPr>
        <w:spacing w:after="60"/>
      </w:pPr>
      <w:r>
        <w:t xml:space="preserve">Matriz de Trazabilidad v3 (documento de cátedra).</w:t>
      </w:r>
    </w:p>
    <w:p>
      <w:pPr>
        <w:pStyle w:val="ListParagraph"/>
        <w:numPr>
          <w:ilvl w:val="0"/>
          <w:numId w:val="4"/>
        </w:numPr>
        <w:spacing w:after="60"/>
      </w:pPr>
      <w:r>
        <w:t xml:space="preserve">docs/REQUIREMENTS.md — consolidado de RF-01 a RF-30 y RNF-01 a RNF-11 usado como base de este SRS.</w:t>
      </w:r>
    </w:p>
    <w:p>
      <w:pPr>
        <w:pStyle w:val="ListParagraph"/>
        <w:numPr>
          <w:ilvl w:val="0"/>
          <w:numId w:val="4"/>
        </w:numPr>
        <w:spacing w:after="60"/>
      </w:pPr>
      <w:r>
        <w:t xml:space="preserve">IEEE Std 830-1998, Recommended Practice for Software Requirements Specifications.</w:t>
      </w:r>
    </w:p>
    <w:p>
      <w:pPr>
        <w:pStyle w:val="ListParagraph"/>
        <w:numPr>
          <w:ilvl w:val="0"/>
          <w:numId w:val="4"/>
        </w:numPr>
        <w:spacing w:after="60"/>
      </w:pPr>
      <w:r>
        <w:t xml:space="preserve">Ley 25.326 de Protección de Datos Personales (República Argentina).</w:t>
      </w:r>
    </w:p>
    <w:p>
      <w:pPr>
        <w:pStyle w:val="ListParagraph"/>
        <w:numPr>
          <w:ilvl w:val="0"/>
          <w:numId w:val="4"/>
        </w:numPr>
        <w:spacing w:after="60"/>
      </w:pPr>
      <w:r>
        <w:t xml:space="preserve">Documentación pública de 17TRACK API y MediaPipe Face Mesh.</w:t>
      </w:r>
    </w:p>
    <w:p>
      <w:pPr>
        <w:pStyle w:val="Heading2"/>
        <w:spacing w:after="150" w:before="300"/>
      </w:pPr>
      <w:r>
        <w:t xml:space="preserve">1.5 Visión general del documento</w:t>
      </w:r>
    </w:p>
    <w:p>
      <w:pPr>
        <w:spacing w:after="120"/>
      </w:pPr>
      <w:r>
        <w:t xml:space="preserve">La sección 2 describe el sistema en términos generales: perspectiva, funciones, usuarios, restricciones y supuestos. La sección 3 contiene la especificación detallada: interfaces externas, requisitos funcionales agrupados por módulo (con entradas, proceso, salidas y prioridad) y requisitos no funcionales. Los apéndices incluyen glosario extendido, matriz de trazabilidad y matriz de roles y permisos.</w:t>
      </w:r>
    </w:p>
    <w:p>
      <w:pPr>
        <w:pStyle w:val="Heading1"/>
        <w:spacing w:after="200" w:before="400"/>
      </w:pPr>
      <w:r>
        <w:t xml:space="preserve">2. Descripción general</w:t>
      </w:r>
    </w:p>
    <w:p>
      <w:pPr>
        <w:pStyle w:val="Heading2"/>
        <w:spacing w:after="150" w:before="300"/>
      </w:pPr>
      <w:r>
        <w:t xml:space="preserve">2.1 Perspectiva del producto</w:t>
      </w:r>
    </w:p>
    <w:p>
      <w:pPr>
        <w:spacing w:after="120"/>
      </w:pPr>
      <w:r>
        <w:t xml:space="preserve">El sistema es una aplicación web nueva (no reemplaza ningún sistema previo, ya que la operatoria es en papel). Se compone de:</w:t>
      </w:r>
    </w:p>
    <w:p>
      <w:pPr>
        <w:pStyle w:val="ListParagraph"/>
        <w:numPr>
          <w:ilvl w:val="0"/>
          <w:numId w:val="4"/>
        </w:numPr>
        <w:spacing w:after="60"/>
      </w:pPr>
      <w:r>
        <w:t xml:space="preserve">Frontend: SPA en React, consumida desde navegador por el personal de la fundación (ADMIN / OPERATOR) y, para el portal de autogestión, por los propios beneficiarios (APPLICANT).</w:t>
      </w:r>
    </w:p>
    <w:p>
      <w:pPr>
        <w:pStyle w:val="ListParagraph"/>
        <w:numPr>
          <w:ilvl w:val="0"/>
          <w:numId w:val="4"/>
        </w:numPr>
        <w:spacing w:after="60"/>
      </w:pPr>
      <w:r>
        <w:t xml:space="preserve">Backend: API REST en Spring Boot, stateless, autenticada con JWT.</w:t>
      </w:r>
    </w:p>
    <w:p>
      <w:pPr>
        <w:pStyle w:val="ListParagraph"/>
        <w:numPr>
          <w:ilvl w:val="0"/>
          <w:numId w:val="4"/>
        </w:numPr>
        <w:spacing w:after="60"/>
      </w:pPr>
      <w:r>
        <w:t xml:space="preserve">Base de datos: PostgreSQL, única fuente de verdad transaccional.</w:t>
      </w:r>
    </w:p>
    <w:p>
      <w:pPr>
        <w:pStyle w:val="ListParagraph"/>
        <w:numPr>
          <w:ilvl w:val="0"/>
          <w:numId w:val="4"/>
        </w:numPr>
        <w:spacing w:after="60"/>
      </w:pPr>
      <w:r>
        <w:t xml:space="preserve">Servicios de terceros con los que el backend se integra: RENAPER (SID), verificación local del PDF de ANSES (no es un servicio de terceros, es procesamiento propio), 17TRACK (logística), Cloudflare R2 (almacenamiento de imágenes/PDFs).</w:t>
      </w:r>
    </w:p>
    <w:p>
      <w:pPr>
        <w:pStyle w:val="ListParagraph"/>
        <w:numPr>
          <w:ilvl w:val="0"/>
          <w:numId w:val="4"/>
        </w:numPr>
        <w:spacing w:after="60"/>
      </w:pPr>
      <w:r>
        <w:t xml:space="preserve">Cliente embebido en el navegador: MediaPipe Face Mesh para el probador virtual, ejecutado 100% en el dispositivo del usuario.</w:t>
      </w:r>
    </w:p>
    <w:p>
      <w:pPr>
        <w:spacing w:after="120"/>
      </w:pPr>
      <w:r>
        <w:t xml:space="preserve">Diagrama de contexto (representación textual):</w:t>
      </w:r>
    </w:p>
    <w:p>
      <w:pPr>
        <w:spacing w:after="0"/>
      </w:pPr>
      <w:r>
        <w:rPr>
          <w:rFonts w:ascii="Courier New" w:cs="Courier New" w:eastAsia="Courier New" w:hAnsi="Courier New"/>
          <w:sz w:val="18"/>
          <w:szCs w:val="18"/>
        </w:rPr>
        <w:t xml:space="preserve"> [Operador/Admin]        [Beneficiario autogestión]        [Comprador catálogo]</w:t>
      </w:r>
    </w:p>
    <w:p>
      <w:pPr>
        <w:spacing w:after="0"/>
      </w:pPr>
      <w:r>
        <w:rPr>
          <w:rFonts w:ascii="Courier New" w:cs="Courier New" w:eastAsia="Courier New" w:hAnsi="Courier New"/>
          <w:sz w:val="18"/>
          <w:szCs w:val="18"/>
        </w:rPr>
        <w:t xml:space="preserve">        |                          |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v</w:t>
      </w:r>
    </w:p>
    <w:p>
      <w:pPr>
        <w:spacing w:after="0"/>
      </w:pPr>
      <w:r>
        <w:rPr>
          <w:rFonts w:ascii="Courier New" w:cs="Courier New" w:eastAsia="Courier New" w:hAnsi="Courier New"/>
          <w:sz w:val="18"/>
          <w:szCs w:val="18"/>
        </w:rPr>
        <w:t xml:space="preserve">                Frontend (React/Vite) -- navegador del usuario</w:t>
      </w:r>
    </w:p>
    <w:p>
      <w:pPr>
        <w:spacing w:after="0"/>
      </w:pPr>
      <w:r>
        <w:rPr>
          <w:rFonts w:ascii="Courier New" w:cs="Courier New" w:eastAsia="Courier New" w:hAnsi="Courier New"/>
          <w:sz w:val="18"/>
          <w:szCs w:val="18"/>
        </w:rPr>
        <w:t xml:space="preserve">                      |  HTTPS + JWT</w:t>
      </w:r>
    </w:p>
    <w:p>
      <w:pPr>
        <w:spacing w:after="0"/>
      </w:pPr>
      <w:r>
        <w:rPr>
          <w:rFonts w:ascii="Courier New" w:cs="Courier New" w:eastAsia="Courier New" w:hAnsi="Courier New"/>
          <w:sz w:val="18"/>
          <w:szCs w:val="18"/>
        </w:rPr>
        <w:t xml:space="preserve">                      v</w:t>
      </w:r>
    </w:p>
    <w:p>
      <w:pPr>
        <w:spacing w:after="0"/>
      </w:pPr>
      <w:r>
        <w:rPr>
          <w:rFonts w:ascii="Courier New" w:cs="Courier New" w:eastAsia="Courier New" w:hAnsi="Courier New"/>
          <w:sz w:val="18"/>
          <w:szCs w:val="18"/>
        </w:rPr>
        <w:t xml:space="preserve">                Backend (Spring Boot, /v1/**)</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v                  v                    v</w:t>
      </w:r>
    </w:p>
    <w:p>
      <w:pPr>
        <w:spacing w:after="0"/>
      </w:pPr>
      <w:r>
        <w:rPr>
          <w:rFonts w:ascii="Courier New" w:cs="Courier New" w:eastAsia="Courier New" w:hAnsi="Courier New"/>
          <w:sz w:val="18"/>
          <w:szCs w:val="18"/>
        </w:rPr>
        <w:t xml:space="preserve">PostgreSQL      Cloudflare R2        RENAPER (SID)        17TRACK</w:t>
      </w:r>
    </w:p>
    <w:p>
      <w:pPr>
        <w:spacing w:after="0"/>
      </w:pPr>
      <w:r>
        <w:rPr>
          <w:rFonts w:ascii="Courier New" w:cs="Courier New" w:eastAsia="Courier New" w:hAnsi="Courier New"/>
          <w:sz w:val="18"/>
          <w:szCs w:val="18"/>
        </w:rPr>
        <w:t xml:space="preserve">(Flyway)        (imagenes/PDFs)   (validacion identidad)  (webhook push)</w:t>
      </w:r>
    </w:p>
    <w:p>
      <w:pPr>
        <w:spacing w:after="200"/>
      </w:pPr>
    </w:p>
    <w:p>
      <w:pPr>
        <w:pStyle w:val="Heading2"/>
        <w:spacing w:after="150" w:before="300"/>
      </w:pPr>
      <w:r>
        <w:t xml:space="preserve">2.2 Funciones del producto</w:t>
      </w:r>
    </w:p>
    <w:p>
      <w:pPr>
        <w:spacing w:after="120"/>
      </w:pPr>
      <w:r>
        <w:t xml:space="preserve">Agrupadas por módulo (correspondencia 1 a 1 con los dominios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Módulo</w:t>
            </w:r>
          </w:p>
        </w:tc>
        <w:tc>
          <w:tcPr>
            <w:tcW w:type="dxa" w:w="6160"/>
            <w:shd w:fill="D9D9D9" w:color="auto" w:val="clear"/>
            <w:tcMar>
              <w:top w:type="dxa" w:w="60"/>
              <w:left w:type="dxa" w:w="100"/>
              <w:bottom w:type="dxa" w:w="60"/>
              <w:right w:type="dxa" w:w="100"/>
            </w:tcMar>
            <w:vAlign w:val="center"/>
          </w:tcPr>
          <w:p>
            <w:r>
              <w:rPr>
                <w:b/>
                <w:bCs/>
                <w:sz w:val="20"/>
                <w:szCs w:val="20"/>
              </w:rPr>
              <w:t xml:space="preserve">Función principal</w:t>
            </w:r>
          </w:p>
        </w:tc>
      </w:tr>
      <w:tr>
        <w:tc>
          <w:tcPr>
            <w:tcW w:type="dxa" w:w="3200"/>
            <w:tcMar>
              <w:top w:type="dxa" w:w="60"/>
              <w:left w:type="dxa" w:w="100"/>
              <w:bottom w:type="dxa" w:w="60"/>
              <w:right w:type="dxa" w:w="100"/>
            </w:tcMar>
            <w:vAlign w:val="center"/>
          </w:tcPr>
          <w:p>
            <w:r>
              <w:rPr>
                <w:b w:val="false"/>
                <w:bCs w:val="false"/>
                <w:sz w:val="20"/>
                <w:szCs w:val="20"/>
              </w:rPr>
              <w:t xml:space="preserve">Solicitantes y Validación</w:t>
            </w:r>
          </w:p>
        </w:tc>
        <w:tc>
          <w:tcPr>
            <w:tcW w:type="dxa" w:w="6160"/>
            <w:tcMar>
              <w:top w:type="dxa" w:w="60"/>
              <w:left w:type="dxa" w:w="100"/>
              <w:bottom w:type="dxa" w:w="60"/>
              <w:right w:type="dxa" w:w="100"/>
            </w:tcMar>
            <w:vAlign w:val="center"/>
          </w:tcPr>
          <w:p>
            <w:r>
              <w:rPr>
                <w:b w:val="false"/>
                <w:bCs w:val="false"/>
                <w:sz w:val="20"/>
                <w:szCs w:val="20"/>
              </w:rPr>
              <w:t xml:space="preserve">Alta, validación de identidad y de elegibilidad ANSES, receta médica, consulta/edición</w:t>
            </w:r>
          </w:p>
        </w:tc>
      </w:tr>
      <w:tr>
        <w:tc>
          <w:tcPr>
            <w:tcW w:type="dxa" w:w="3200"/>
            <w:tcMar>
              <w:top w:type="dxa" w:w="60"/>
              <w:left w:type="dxa" w:w="100"/>
              <w:bottom w:type="dxa" w:w="60"/>
              <w:right w:type="dxa" w:w="100"/>
            </w:tcMar>
            <w:vAlign w:val="center"/>
          </w:tcPr>
          <w:p>
            <w:r>
              <w:rPr>
                <w:b w:val="false"/>
                <w:bCs w:val="false"/>
                <w:sz w:val="20"/>
                <w:szCs w:val="20"/>
              </w:rPr>
              <w:t xml:space="preserve">Donaciones</w:t>
            </w:r>
          </w:p>
        </w:tc>
        <w:tc>
          <w:tcPr>
            <w:tcW w:type="dxa" w:w="6160"/>
            <w:tcMar>
              <w:top w:type="dxa" w:w="60"/>
              <w:left w:type="dxa" w:w="100"/>
              <w:bottom w:type="dxa" w:w="60"/>
              <w:right w:type="dxa" w:w="100"/>
            </w:tcMar>
            <w:vAlign w:val="center"/>
          </w:tcPr>
          <w:p>
            <w:r>
              <w:rPr>
                <w:b w:val="false"/>
                <w:bCs w:val="false"/>
                <w:sz w:val="20"/>
                <w:szCs w:val="20"/>
              </w:rPr>
              <w:t xml:space="preserve">Alta de donantes, recepción y clasificación de marcos donados</w:t>
            </w:r>
          </w:p>
        </w:tc>
      </w:tr>
      <w:tr>
        <w:tc>
          <w:tcPr>
            <w:tcW w:type="dxa" w:w="3200"/>
            <w:tcMar>
              <w:top w:type="dxa" w:w="60"/>
              <w:left w:type="dxa" w:w="100"/>
              <w:bottom w:type="dxa" w:w="60"/>
              <w:right w:type="dxa" w:w="100"/>
            </w:tcMar>
            <w:vAlign w:val="center"/>
          </w:tcPr>
          <w:p>
            <w:r>
              <w:rPr>
                <w:b w:val="false"/>
                <w:bCs w:val="false"/>
                <w:sz w:val="20"/>
                <w:szCs w:val="20"/>
              </w:rPr>
              <w:t xml:space="preserve">Inventario, Asignación y Trazabilidad</w:t>
            </w:r>
          </w:p>
        </w:tc>
        <w:tc>
          <w:tcPr>
            <w:tcW w:type="dxa" w:w="6160"/>
            <w:tcMar>
              <w:top w:type="dxa" w:w="60"/>
              <w:left w:type="dxa" w:w="100"/>
              <w:bottom w:type="dxa" w:w="60"/>
              <w:right w:type="dxa" w:w="100"/>
            </w:tcMar>
            <w:vAlign w:val="center"/>
          </w:tcPr>
          <w:p>
            <w:r>
              <w:rPr>
                <w:b w:val="false"/>
                <w:bCs w:val="false"/>
                <w:sz w:val="20"/>
                <w:szCs w:val="20"/>
              </w:rPr>
              <w:t xml:space="preserve">Inventario en tiempo real, match receta↔marco, asignación, trazabilidad end-to-end</w:t>
            </w:r>
          </w:p>
        </w:tc>
      </w:tr>
      <w:tr>
        <w:tc>
          <w:tcPr>
            <w:tcW w:type="dxa" w:w="3200"/>
            <w:tcMar>
              <w:top w:type="dxa" w:w="60"/>
              <w:left w:type="dxa" w:w="100"/>
              <w:bottom w:type="dxa" w:w="60"/>
              <w:right w:type="dxa" w:w="100"/>
            </w:tcMar>
            <w:vAlign w:val="center"/>
          </w:tcPr>
          <w:p>
            <w:r>
              <w:rPr>
                <w:b w:val="false"/>
                <w:bCs w:val="false"/>
                <w:sz w:val="20"/>
                <w:szCs w:val="20"/>
              </w:rPr>
              <w:t xml:space="preserve">Probador Virtual</w:t>
            </w:r>
          </w:p>
        </w:tc>
        <w:tc>
          <w:tcPr>
            <w:tcW w:type="dxa" w:w="6160"/>
            <w:tcMar>
              <w:top w:type="dxa" w:w="60"/>
              <w:left w:type="dxa" w:w="100"/>
              <w:bottom w:type="dxa" w:w="60"/>
              <w:right w:type="dxa" w:w="100"/>
            </w:tcMar>
            <w:vAlign w:val="center"/>
          </w:tcPr>
          <w:p>
            <w:r>
              <w:rPr>
                <w:b w:val="false"/>
                <w:bCs w:val="false"/>
                <w:sz w:val="20"/>
                <w:szCs w:val="20"/>
              </w:rPr>
              <w:t xml:space="preserve">Detección facial y superposición 2D del marco sobre foto estática</w:t>
            </w:r>
          </w:p>
        </w:tc>
      </w:tr>
      <w:tr>
        <w:tc>
          <w:tcPr>
            <w:tcW w:type="dxa" w:w="3200"/>
            <w:tcMar>
              <w:top w:type="dxa" w:w="60"/>
              <w:left w:type="dxa" w:w="100"/>
              <w:bottom w:type="dxa" w:w="60"/>
              <w:right w:type="dxa" w:w="100"/>
            </w:tcMar>
            <w:vAlign w:val="center"/>
          </w:tcPr>
          <w:p>
            <w:r>
              <w:rPr>
                <w:b w:val="false"/>
                <w:bCs w:val="false"/>
                <w:sz w:val="20"/>
                <w:szCs w:val="20"/>
              </w:rPr>
              <w:t xml:space="preserve">Turnos y Notificaciones</w:t>
            </w:r>
          </w:p>
        </w:tc>
        <w:tc>
          <w:tcPr>
            <w:tcW w:type="dxa" w:w="6160"/>
            <w:tcMar>
              <w:top w:type="dxa" w:w="60"/>
              <w:left w:type="dxa" w:w="100"/>
              <w:bottom w:type="dxa" w:w="60"/>
              <w:right w:type="dxa" w:w="100"/>
            </w:tcMar>
            <w:vAlign w:val="center"/>
          </w:tcPr>
          <w:p>
            <w:r>
              <w:rPr>
                <w:b w:val="false"/>
                <w:bCs w:val="false"/>
                <w:sz w:val="20"/>
                <w:szCs w:val="20"/>
              </w:rPr>
              <w:t xml:space="preserve">Alta, reprogramación, cancelación y notificación de turnos; autogestión del beneficiario</w:t>
            </w:r>
          </w:p>
        </w:tc>
      </w:tr>
      <w:tr>
        <w:tc>
          <w:tcPr>
            <w:tcW w:type="dxa" w:w="3200"/>
            <w:tcMar>
              <w:top w:type="dxa" w:w="60"/>
              <w:left w:type="dxa" w:w="100"/>
              <w:bottom w:type="dxa" w:w="60"/>
              <w:right w:type="dxa" w:w="100"/>
            </w:tcMar>
            <w:vAlign w:val="center"/>
          </w:tcPr>
          <w:p>
            <w:r>
              <w:rPr>
                <w:b w:val="false"/>
                <w:bCs w:val="false"/>
                <w:sz w:val="20"/>
                <w:szCs w:val="20"/>
              </w:rPr>
              <w:t xml:space="preserve">Logística e Integración 17TRACK</w:t>
            </w:r>
          </w:p>
        </w:tc>
        <w:tc>
          <w:tcPr>
            <w:tcW w:type="dxa" w:w="6160"/>
            <w:tcMar>
              <w:top w:type="dxa" w:w="60"/>
              <w:left w:type="dxa" w:w="100"/>
              <w:bottom w:type="dxa" w:w="60"/>
              <w:right w:type="dxa" w:w="100"/>
            </w:tcMar>
            <w:vAlign w:val="center"/>
          </w:tcPr>
          <w:p>
            <w:r>
              <w:rPr>
                <w:b w:val="false"/>
                <w:bCs w:val="false"/>
                <w:sz w:val="20"/>
                <w:szCs w:val="20"/>
              </w:rPr>
              <w:t xml:space="preserve">Registro y seguimiento de envíos entre sucursales</w:t>
            </w:r>
          </w:p>
        </w:tc>
      </w:tr>
      <w:tr>
        <w:tc>
          <w:tcPr>
            <w:tcW w:type="dxa" w:w="3200"/>
            <w:tcMar>
              <w:top w:type="dxa" w:w="60"/>
              <w:left w:type="dxa" w:w="100"/>
              <w:bottom w:type="dxa" w:w="60"/>
              <w:right w:type="dxa" w:w="100"/>
            </w:tcMar>
            <w:vAlign w:val="center"/>
          </w:tcPr>
          <w:p>
            <w:r>
              <w:rPr>
                <w:b w:val="false"/>
                <w:bCs w:val="false"/>
                <w:sz w:val="20"/>
                <w:szCs w:val="20"/>
              </w:rPr>
              <w:t xml:space="preserve">Panel de Impacto</w:t>
            </w:r>
          </w:p>
        </w:tc>
        <w:tc>
          <w:tcPr>
            <w:tcW w:type="dxa" w:w="6160"/>
            <w:tcMar>
              <w:top w:type="dxa" w:w="60"/>
              <w:left w:type="dxa" w:w="100"/>
              <w:bottom w:type="dxa" w:w="60"/>
              <w:right w:type="dxa" w:w="100"/>
            </w:tcMar>
            <w:vAlign w:val="center"/>
          </w:tcPr>
          <w:p>
            <w:r>
              <w:rPr>
                <w:b w:val="false"/>
                <w:bCs w:val="false"/>
                <w:sz w:val="20"/>
                <w:szCs w:val="20"/>
              </w:rPr>
              <w:t xml:space="preserve">Indicadores agregados de impacto social</w:t>
            </w:r>
          </w:p>
        </w:tc>
      </w:tr>
      <w:tr>
        <w:tc>
          <w:tcPr>
            <w:tcW w:type="dxa" w:w="3200"/>
            <w:tcMar>
              <w:top w:type="dxa" w:w="60"/>
              <w:left w:type="dxa" w:w="100"/>
              <w:bottom w:type="dxa" w:w="60"/>
              <w:right w:type="dxa" w:w="100"/>
            </w:tcMar>
            <w:vAlign w:val="center"/>
          </w:tcPr>
          <w:p>
            <w:r>
              <w:rPr>
                <w:b w:val="false"/>
                <w:bCs w:val="false"/>
                <w:sz w:val="20"/>
                <w:szCs w:val="20"/>
              </w:rPr>
              <w:t xml:space="preserve">Catálogo de Venta</w:t>
            </w:r>
          </w:p>
        </w:tc>
        <w:tc>
          <w:tcPr>
            <w:tcW w:type="dxa" w:w="6160"/>
            <w:tcMar>
              <w:top w:type="dxa" w:w="60"/>
              <w:left w:type="dxa" w:w="100"/>
              <w:bottom w:type="dxa" w:w="60"/>
              <w:right w:type="dxa" w:w="100"/>
            </w:tcMar>
            <w:vAlign w:val="center"/>
          </w:tcPr>
          <w:p>
            <w:r>
              <w:rPr>
                <w:b w:val="false"/>
                <w:bCs w:val="false"/>
                <w:sz w:val="20"/>
                <w:szCs w:val="20"/>
              </w:rPr>
              <w:t xml:space="preserve">Catálogo, venta y gestión de stock de anteojos de sol</w:t>
            </w:r>
          </w:p>
        </w:tc>
      </w:tr>
    </w:tbl>
    <w:p>
      <w:pPr>
        <w:pStyle w:val="Heading2"/>
        <w:spacing w:after="150" w:before="300"/>
      </w:pPr>
      <w: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D9D9D9" w:color="auto" w:val="clear"/>
            <w:tcMar>
              <w:top w:type="dxa" w:w="60"/>
              <w:left w:type="dxa" w:w="100"/>
              <w:bottom w:type="dxa" w:w="60"/>
              <w:right w:type="dxa" w:w="100"/>
            </w:tcMar>
            <w:vAlign w:val="center"/>
          </w:tcPr>
          <w:p>
            <w:r>
              <w:rPr>
                <w:b/>
                <w:bCs/>
                <w:sz w:val="20"/>
                <w:szCs w:val="20"/>
              </w:rPr>
              <w:t xml:space="preserve">Rol</w:t>
            </w:r>
          </w:p>
        </w:tc>
        <w:tc>
          <w:tcPr>
            <w:tcW w:type="dxa" w:w="4200"/>
            <w:shd w:fill="D9D9D9" w:color="auto" w:val="clear"/>
            <w:tcMar>
              <w:top w:type="dxa" w:w="60"/>
              <w:left w:type="dxa" w:w="100"/>
              <w:bottom w:type="dxa" w:w="60"/>
              <w:right w:type="dxa" w:w="100"/>
            </w:tcMar>
            <w:vAlign w:val="center"/>
          </w:tcPr>
          <w:p>
            <w:r>
              <w:rPr>
                <w:b/>
                <w:bCs/>
                <w:sz w:val="20"/>
                <w:szCs w:val="20"/>
              </w:rPr>
              <w:t xml:space="preserve">Descripción</w:t>
            </w:r>
          </w:p>
        </w:tc>
        <w:tc>
          <w:tcPr>
            <w:tcW w:type="dxa" w:w="2960"/>
            <w:shd w:fill="D9D9D9" w:color="auto" w:val="clear"/>
            <w:tcMar>
              <w:top w:type="dxa" w:w="60"/>
              <w:left w:type="dxa" w:w="100"/>
              <w:bottom w:type="dxa" w:w="60"/>
              <w:right w:type="dxa" w:w="100"/>
            </w:tcMar>
            <w:vAlign w:val="center"/>
          </w:tcPr>
          <w:p>
            <w:r>
              <w:rPr>
                <w:b/>
                <w:bCs/>
                <w:sz w:val="20"/>
                <w:szCs w:val="20"/>
              </w:rPr>
              <w:t xml:space="preserve">Nivel técnico esperado</w:t>
            </w:r>
          </w:p>
        </w:tc>
      </w:tr>
      <w:tr>
        <w:tc>
          <w:tcPr>
            <w:tcW w:type="dxa" w:w="2200"/>
            <w:tcMar>
              <w:top w:type="dxa" w:w="60"/>
              <w:left w:type="dxa" w:w="100"/>
              <w:bottom w:type="dxa" w:w="60"/>
              <w:right w:type="dxa" w:w="100"/>
            </w:tcMar>
            <w:vAlign w:val="center"/>
          </w:tcPr>
          <w:p>
            <w:r>
              <w:rPr>
                <w:b w:val="false"/>
                <w:bCs w:val="false"/>
                <w:sz w:val="20"/>
                <w:szCs w:val="20"/>
              </w:rPr>
              <w:t xml:space="preserve">ADMIN</w:t>
            </w:r>
          </w:p>
        </w:tc>
        <w:tc>
          <w:tcPr>
            <w:tcW w:type="dxa" w:w="4200"/>
            <w:tcMar>
              <w:top w:type="dxa" w:w="60"/>
              <w:left w:type="dxa" w:w="100"/>
              <w:bottom w:type="dxa" w:w="60"/>
              <w:right w:type="dxa" w:w="100"/>
            </w:tcMar>
            <w:vAlign w:val="center"/>
          </w:tcPr>
          <w:p>
            <w:r>
              <w:rPr>
                <w:b w:val="false"/>
                <w:bCs w:val="false"/>
                <w:sz w:val="20"/>
                <w:szCs w:val="20"/>
              </w:rPr>
              <w:t xml:space="preserve">Administra usuarios, configuración y catálogo de venta. Acceso completo al sistema.</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 capacitación ~30 min (RNF-05)</w:t>
            </w:r>
          </w:p>
        </w:tc>
      </w:tr>
      <w:tr>
        <w:tc>
          <w:tcPr>
            <w:tcW w:type="dxa" w:w="2200"/>
            <w:tcMar>
              <w:top w:type="dxa" w:w="60"/>
              <w:left w:type="dxa" w:w="100"/>
              <w:bottom w:type="dxa" w:w="60"/>
              <w:right w:type="dxa" w:w="100"/>
            </w:tcMar>
            <w:vAlign w:val="center"/>
          </w:tcPr>
          <w:p>
            <w:r>
              <w:rPr>
                <w:b w:val="false"/>
                <w:bCs w:val="false"/>
                <w:sz w:val="20"/>
                <w:szCs w:val="20"/>
              </w:rPr>
              <w:t xml:space="preserve">OPERATOR</w:t>
            </w:r>
          </w:p>
        </w:tc>
        <w:tc>
          <w:tcPr>
            <w:tcW w:type="dxa" w:w="4200"/>
            <w:tcMar>
              <w:top w:type="dxa" w:w="60"/>
              <w:left w:type="dxa" w:w="100"/>
              <w:bottom w:type="dxa" w:w="60"/>
              <w:right w:type="dxa" w:w="100"/>
            </w:tcMar>
            <w:vAlign w:val="center"/>
          </w:tcPr>
          <w:p>
            <w:r>
              <w:rPr>
                <w:b w:val="false"/>
                <w:bCs w:val="false"/>
                <w:sz w:val="20"/>
                <w:szCs w:val="20"/>
              </w:rPr>
              <w:t xml:space="preserve">Uso diario: registra solicitantes/donaciones, valida elegibilidad, asigna marcos, gestiona turnos y envíos.</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w:t>
            </w:r>
          </w:p>
        </w:tc>
      </w:tr>
      <w:tr>
        <w:tc>
          <w:tcPr>
            <w:tcW w:type="dxa" w:w="2200"/>
            <w:tcMar>
              <w:top w:type="dxa" w:w="60"/>
              <w:left w:type="dxa" w:w="100"/>
              <w:bottom w:type="dxa" w:w="60"/>
              <w:right w:type="dxa" w:w="100"/>
            </w:tcMar>
            <w:vAlign w:val="center"/>
          </w:tcPr>
          <w:p>
            <w:r>
              <w:rPr>
                <w:b w:val="false"/>
                <w:bCs w:val="false"/>
                <w:sz w:val="20"/>
                <w:szCs w:val="20"/>
              </w:rPr>
              <w:t xml:space="preserve">APPLICANT (beneficiario)</w:t>
            </w:r>
          </w:p>
        </w:tc>
        <w:tc>
          <w:tcPr>
            <w:tcW w:type="dxa" w:w="4200"/>
            <w:tcMar>
              <w:top w:type="dxa" w:w="60"/>
              <w:left w:type="dxa" w:w="100"/>
              <w:bottom w:type="dxa" w:w="60"/>
              <w:right w:type="dxa" w:w="100"/>
            </w:tcMar>
            <w:vAlign w:val="center"/>
          </w:tcPr>
          <w:p>
            <w:r>
              <w:rPr>
                <w:b w:val="false"/>
                <w:bCs w:val="false"/>
                <w:sz w:val="20"/>
                <w:szCs w:val="20"/>
              </w:rPr>
              <w:t xml:space="preserve">Se autogestiona: pide turno, sube comprobante del bono contribución, consulta el estado de su marco, usa el probador virtual.</w:t>
            </w:r>
          </w:p>
        </w:tc>
        <w:tc>
          <w:tcPr>
            <w:tcW w:type="dxa" w:w="2960"/>
            <w:tcMar>
              <w:top w:type="dxa" w:w="60"/>
              <w:left w:type="dxa" w:w="100"/>
              <w:bottom w:type="dxa" w:w="60"/>
              <w:right w:type="dxa" w:w="100"/>
            </w:tcMar>
            <w:vAlign w:val="center"/>
          </w:tcPr>
          <w:p>
            <w:r>
              <w:rPr>
                <w:b w:val="false"/>
                <w:bCs w:val="false"/>
                <w:sz w:val="20"/>
                <w:szCs w:val="20"/>
              </w:rPr>
              <w:t xml:space="preserve">Público general, sin capacitación previa</w:t>
            </w:r>
          </w:p>
        </w:tc>
      </w:tr>
      <w:tr>
        <w:tc>
          <w:tcPr>
            <w:tcW w:type="dxa" w:w="2200"/>
            <w:tcMar>
              <w:top w:type="dxa" w:w="60"/>
              <w:left w:type="dxa" w:w="100"/>
              <w:bottom w:type="dxa" w:w="60"/>
              <w:right w:type="dxa" w:w="100"/>
            </w:tcMar>
            <w:vAlign w:val="center"/>
          </w:tcPr>
          <w:p>
            <w:r>
              <w:rPr>
                <w:b w:val="false"/>
                <w:bCs w:val="false"/>
                <w:sz w:val="20"/>
                <w:szCs w:val="20"/>
              </w:rPr>
              <w:t xml:space="preserve">Comprador del catálogo</w:t>
            </w:r>
          </w:p>
        </w:tc>
        <w:tc>
          <w:tcPr>
            <w:tcW w:type="dxa" w:w="4200"/>
            <w:tcMar>
              <w:top w:type="dxa" w:w="60"/>
              <w:left w:type="dxa" w:w="100"/>
              <w:bottom w:type="dxa" w:w="60"/>
              <w:right w:type="dxa" w:w="100"/>
            </w:tcMar>
            <w:vAlign w:val="center"/>
          </w:tcPr>
          <w:p>
            <w:r>
              <w:rPr>
                <w:b w:val="false"/>
                <w:bCs w:val="false"/>
                <w:sz w:val="20"/>
                <w:szCs w:val="20"/>
              </w:rPr>
              <w:t xml:space="preserve">Navega el catálogo de anteojos de sol. No requiere cuenta para verlo; la venta la registra un OPERATOR/ADMIN.</w:t>
            </w:r>
          </w:p>
        </w:tc>
        <w:tc>
          <w:tcPr>
            <w:tcW w:type="dxa" w:w="2960"/>
            <w:tcMar>
              <w:top w:type="dxa" w:w="60"/>
              <w:left w:type="dxa" w:w="100"/>
              <w:bottom w:type="dxa" w:w="60"/>
              <w:right w:type="dxa" w:w="100"/>
            </w:tcMar>
            <w:vAlign w:val="center"/>
          </w:tcPr>
          <w:p>
            <w:r>
              <w:rPr>
                <w:b w:val="false"/>
                <w:bCs w:val="false"/>
                <w:sz w:val="20"/>
                <w:szCs w:val="20"/>
              </w:rPr>
              <w:t xml:space="preserve">Público general</w:t>
            </w:r>
          </w:p>
        </w:tc>
      </w:tr>
    </w:tbl>
    <w:p>
      <w:pPr>
        <w:pStyle w:val="Heading2"/>
        <w:spacing w:after="150" w:before="300"/>
      </w:pPr>
      <w:r>
        <w:t xml:space="preserve">2.4 Restricciones</w:t>
      </w:r>
    </w:p>
    <w:p>
      <w:pPr>
        <w:pStyle w:val="ListParagraph"/>
        <w:numPr>
          <w:ilvl w:val="0"/>
          <w:numId w:val="4"/>
        </w:numPr>
        <w:spacing w:after="60"/>
      </w:pPr>
      <w:r>
        <w:t xml:space="preserve">El backend debe seguir arquitectura en 4 capas con aislamiento estricto entre dominios (ver Documento de Arquitectura, sección Vistas — Vista de Desarrollo).</w:t>
      </w:r>
    </w:p>
    <w:p>
      <w:pPr>
        <w:pStyle w:val="ListParagraph"/>
        <w:numPr>
          <w:ilvl w:val="0"/>
          <w:numId w:val="4"/>
        </w:numPr>
        <w:spacing w:after="60"/>
      </w:pPr>
      <w:r>
        <w:t xml:space="preserve">El schema de base de datos se gestiona exclusivamente por migraciones Flyway (append-only); no se permite DDL generado por Hibernate.</w:t>
      </w:r>
    </w:p>
    <w:p>
      <w:pPr>
        <w:pStyle w:val="ListParagraph"/>
        <w:numPr>
          <w:ilvl w:val="0"/>
          <w:numId w:val="4"/>
        </w:numPr>
        <w:spacing w:after="60"/>
      </w:pPr>
      <w:r>
        <w:t xml:space="preserve">No se persisten binarios en PostgreSQL: toda imagen/PDF va a Cloudflare R2 y solo su URL se guarda en base de datos (RNF-07).</w:t>
      </w:r>
    </w:p>
    <w:p>
      <w:pPr>
        <w:pStyle w:val="ListParagraph"/>
        <w:numPr>
          <w:ilvl w:val="0"/>
          <w:numId w:val="4"/>
        </w:numPr>
        <w:spacing w:after="60"/>
      </w:pPr>
      <w:r>
        <w:t xml:space="preserve">El probador virtual no puede depender de un servidor de procesamiento externo (RNF-04): debe funcionar con superposición 2D sobre foto estática, compatible con dispositivos de gama baja.</w:t>
      </w:r>
    </w:p>
    <w:p>
      <w:pPr>
        <w:pStyle w:val="ListParagraph"/>
        <w:numPr>
          <w:ilvl w:val="0"/>
          <w:numId w:val="4"/>
        </w:numPr>
        <w:spacing w:after="60"/>
      </w:pPr>
      <w:r>
        <w:t xml:space="preserve">El plan gratuito de 17TRACK limita a 100 envíos/mes; el sistema no debe asumir un volumen mayor sin migrar de plan.</w:t>
      </w:r>
    </w:p>
    <w:p>
      <w:pPr>
        <w:pStyle w:val="ListParagraph"/>
        <w:numPr>
          <w:ilvl w:val="0"/>
          <w:numId w:val="4"/>
        </w:numPr>
        <w:spacing w:after="60"/>
      </w:pPr>
      <w:r>
        <w:t xml:space="preserve">Idioma del código: inglés. Idioma de la interfaz y de los mensajes al usuario final: español (ver CLAUDE.md del proyecto).</w:t>
      </w:r>
    </w:p>
    <w:p>
      <w:pPr>
        <w:pStyle w:val="Heading2"/>
        <w:spacing w:after="150" w:before="300"/>
      </w:pPr>
      <w:r>
        <w:t xml:space="preserve">2.5 Supuestos y dependencias</w:t>
      </w:r>
    </w:p>
    <w:p>
      <w:pPr>
        <w:pStyle w:val="ListParagraph"/>
        <w:numPr>
          <w:ilvl w:val="0"/>
          <w:numId w:val="4"/>
        </w:numPr>
        <w:spacing w:after="60"/>
      </w:pPr>
      <w:r>
        <w:t xml:space="preserve">Se asume que la fundación gestiona por fuera del sistema el convenio de confronte de datos con RENAPER (trámite TAD, PT-1.2.7 de la EDT); el sistema solo consume el servicio una vez habilitado.</w:t>
      </w:r>
    </w:p>
    <w:p>
      <w:pPr>
        <w:pStyle w:val="ListParagraph"/>
        <w:numPr>
          <w:ilvl w:val="0"/>
          <w:numId w:val="4"/>
        </w:numPr>
        <w:spacing w:after="60"/>
      </w:pPr>
      <w:r>
        <w:t xml:space="preserve">Se asume disponibilidad de conectividad a internet en el punto de atención para consultar RENAPER y 17TRACK; ante indisponibilidad de RENAPER, el sistema depende de que el operador ejecute la validación presencial documentada como alternativa (RF-06).</w:t>
      </w:r>
    </w:p>
    <w:p>
      <w:pPr>
        <w:pStyle w:val="ListParagraph"/>
        <w:numPr>
          <w:ilvl w:val="0"/>
          <w:numId w:val="4"/>
        </w:numPr>
        <w:spacing w:after="60"/>
      </w:pPr>
      <w:r>
        <w:t xml:space="preserve">Se asume que el monto del bono contribución y la validez del comprobante los verifica un humano (operador), no el sistema — el sistema solo garantiza que no se confirme un turno sin comprobante cargado.</w:t>
      </w:r>
    </w:p>
    <w:p>
      <w:pPr>
        <w:pStyle w:val="ListParagraph"/>
        <w:numPr>
          <w:ilvl w:val="0"/>
          <w:numId w:val="4"/>
        </w:numPr>
        <w:spacing w:after="60"/>
      </w:pPr>
      <w:r>
        <w:t xml:space="preserve">Depende de que Cloudflare R2 y 17TRACK estén operativos para sus respectivas funciones; ambos son servicios externos fuera del control del equipo de desarrollo.</w:t>
      </w:r>
    </w:p>
    <w:p>
      <w:pPr>
        <w:pStyle w:val="Heading1"/>
        <w:spacing w:after="200" w:before="400"/>
      </w:pPr>
      <w:r>
        <w:t xml:space="preserve">3. Requisitos específicos</w:t>
      </w:r>
    </w:p>
    <w:p>
      <w:pPr>
        <w:pStyle w:val="Heading2"/>
        <w:spacing w:after="150" w:before="300"/>
      </w:pPr>
      <w:r>
        <w:t xml:space="preserve">3.1 Requisitos de interfaces externas</w:t>
      </w:r>
    </w:p>
    <w:p>
      <w:pPr>
        <w:pStyle w:val="Heading3"/>
        <w:spacing w:after="120" w:before="240"/>
      </w:pPr>
      <w:r>
        <w:t xml:space="preserve">3.1.1 Interfaces de usuario</w:t>
      </w:r>
    </w:p>
    <w:p>
      <w:pPr>
        <w:pStyle w:val="ListParagraph"/>
        <w:numPr>
          <w:ilvl w:val="0"/>
          <w:numId w:val="4"/>
        </w:numPr>
        <w:spacing w:after="60"/>
      </w:pPr>
      <w:r>
        <w:t xml:space="preserve">Aplicación web responsive, operable desde navegadores de escritorio y dispositivos móviles modernos (RNF-11).</w:t>
      </w:r>
    </w:p>
    <w:p>
      <w:pPr>
        <w:pStyle w:val="ListParagraph"/>
        <w:numPr>
          <w:ilvl w:val="0"/>
          <w:numId w:val="4"/>
        </w:numPr>
        <w:spacing w:after="60"/>
      </w:pPr>
      <w:r>
        <w:t xml:space="preserve">Formularios con validación en el borde (cliente) y mensajes de error en español, sin exponer detalles internos (stack traces, nombres de tablas).</w:t>
      </w:r>
    </w:p>
    <w:p>
      <w:pPr>
        <w:pStyle w:val="ListParagraph"/>
        <w:numPr>
          <w:ilvl w:val="0"/>
          <w:numId w:val="4"/>
        </w:numPr>
        <w:spacing w:after="60"/>
      </w:pPr>
      <w:r>
        <w:t xml:space="preserve">Navegación diferenciada por rol: menú y rutas visibles según ADMIN / OPERATOR / APPLICANT.</w:t>
      </w:r>
    </w:p>
    <w:p>
      <w:pPr>
        <w:pStyle w:val="ListParagraph"/>
        <w:numPr>
          <w:ilvl w:val="0"/>
          <w:numId w:val="4"/>
        </w:numPr>
        <w:spacing w:after="60"/>
      </w:pPr>
      <w:r>
        <w:t xml:space="preserve">Convención de fecha única DD/MM/YYYY (ART) en toda la interfaz.</w:t>
      </w:r>
    </w:p>
    <w:p>
      <w:pPr>
        <w:pStyle w:val="Heading3"/>
        <w:spacing w:after="120" w:before="240"/>
      </w:pPr>
      <w:r>
        <w:t xml:space="preserve">3.1.2 Interfaces de hardware</w:t>
      </w:r>
    </w:p>
    <w:p>
      <w:pPr>
        <w:pStyle w:val="ListParagraph"/>
        <w:numPr>
          <w:ilvl w:val="0"/>
          <w:numId w:val="4"/>
        </w:numPr>
        <w:spacing w:after="60"/>
      </w:pPr>
      <w:r>
        <w:t xml:space="preserve">Cámara del dispositivo del usuario para captura de foto (alta de marcos, probador virtual), acceso mediado por API estándar del navegador (getUserMedia); sin hardware propietario.</w:t>
      </w:r>
    </w:p>
    <w:p>
      <w:pPr>
        <w:pStyle w:val="ListParagraph"/>
        <w:numPr>
          <w:ilvl w:val="0"/>
          <w:numId w:val="4"/>
        </w:numPr>
        <w:spacing w:after="60"/>
      </w:pPr>
      <w:r>
        <w:t xml:space="preserve">Sin requerimiento de hardware específico del lado servidor más allá de lo provisto por el hosting (Render).</w:t>
      </w:r>
    </w:p>
    <w:p>
      <w:pPr>
        <w:pStyle w:val="Heading3"/>
        <w:spacing w:after="120" w:before="240"/>
      </w:pPr>
      <w:r>
        <w:t xml:space="preserve">3.1.3 Interfaces de software (servicios de terceros)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960"/>
      </w:tblGrid>
      <w:tr>
        <w:trPr>
          <w:tblHeader/>
        </w:trPr>
        <w:tc>
          <w:tcPr>
            <w:tcW w:type="dxa" w:w="2000"/>
            <w:shd w:fill="D9D9D9" w:color="auto" w:val="clear"/>
            <w:tcMar>
              <w:top w:type="dxa" w:w="60"/>
              <w:left w:type="dxa" w:w="100"/>
              <w:bottom w:type="dxa" w:w="60"/>
              <w:right w:type="dxa" w:w="100"/>
            </w:tcMar>
            <w:vAlign w:val="center"/>
          </w:tcPr>
          <w:p>
            <w:r>
              <w:rPr>
                <w:b/>
                <w:bCs/>
                <w:sz w:val="20"/>
                <w:szCs w:val="20"/>
              </w:rPr>
              <w:t xml:space="preserve">Servicio</w:t>
            </w:r>
          </w:p>
        </w:tc>
        <w:tc>
          <w:tcPr>
            <w:tcW w:type="dxa" w:w="3200"/>
            <w:shd w:fill="D9D9D9" w:color="auto" w:val="clear"/>
            <w:tcMar>
              <w:top w:type="dxa" w:w="60"/>
              <w:left w:type="dxa" w:w="100"/>
              <w:bottom w:type="dxa" w:w="60"/>
              <w:right w:type="dxa" w:w="100"/>
            </w:tcMar>
            <w:vAlign w:val="center"/>
          </w:tcPr>
          <w:p>
            <w:r>
              <w:rPr>
                <w:b/>
                <w:bCs/>
                <w:sz w:val="20"/>
                <w:szCs w:val="20"/>
              </w:rPr>
              <w:t xml:space="preserve">Propósito</w:t>
            </w:r>
          </w:p>
        </w:tc>
        <w:tc>
          <w:tcPr>
            <w:tcW w:type="dxa" w:w="2200"/>
            <w:shd w:fill="D9D9D9" w:color="auto" w:val="clear"/>
            <w:tcMar>
              <w:top w:type="dxa" w:w="60"/>
              <w:left w:type="dxa" w:w="100"/>
              <w:bottom w:type="dxa" w:w="60"/>
              <w:right w:type="dxa" w:w="100"/>
            </w:tcMar>
            <w:vAlign w:val="center"/>
          </w:tcPr>
          <w:p>
            <w:r>
              <w:rPr>
                <w:b/>
                <w:bCs/>
                <w:sz w:val="20"/>
                <w:szCs w:val="20"/>
              </w:rPr>
              <w:t xml:space="preserve">Protocolo</w:t>
            </w:r>
          </w:p>
        </w:tc>
        <w:tc>
          <w:tcPr>
            <w:tcW w:type="dxa" w:w="1960"/>
            <w:shd w:fill="D9D9D9" w:color="auto" w:val="clear"/>
            <w:tcMar>
              <w:top w:type="dxa" w:w="60"/>
              <w:left w:type="dxa" w:w="100"/>
              <w:bottom w:type="dxa" w:w="60"/>
              <w:right w:type="dxa" w:w="100"/>
            </w:tcMar>
            <w:vAlign w:val="center"/>
          </w:tcPr>
          <w:p>
            <w:r>
              <w:rPr>
                <w:b/>
                <w:bCs/>
                <w:sz w:val="20"/>
                <w:szCs w:val="20"/>
              </w:rPr>
              <w:t xml:space="preserve">Notas</w:t>
            </w:r>
          </w:p>
        </w:tc>
      </w:tr>
      <w:tr>
        <w:tc>
          <w:tcPr>
            <w:tcW w:type="dxa" w:w="2000"/>
            <w:tcMar>
              <w:top w:type="dxa" w:w="60"/>
              <w:left w:type="dxa" w:w="100"/>
              <w:bottom w:type="dxa" w:w="60"/>
              <w:right w:type="dxa" w:w="100"/>
            </w:tcMar>
            <w:vAlign w:val="center"/>
          </w:tcPr>
          <w:p>
            <w:r>
              <w:rPr>
                <w:b w:val="false"/>
                <w:bCs w:val="false"/>
                <w:sz w:val="20"/>
                <w:szCs w:val="20"/>
              </w:rPr>
              <w:t xml:space="preserve">RENAPER — SID</w:t>
            </w:r>
          </w:p>
        </w:tc>
        <w:tc>
          <w:tcPr>
            <w:tcW w:type="dxa" w:w="3200"/>
            <w:tcMar>
              <w:top w:type="dxa" w:w="60"/>
              <w:left w:type="dxa" w:w="100"/>
              <w:bottom w:type="dxa" w:w="60"/>
              <w:right w:type="dxa" w:w="100"/>
            </w:tcMar>
            <w:vAlign w:val="center"/>
          </w:tcPr>
          <w:p>
            <w:r>
              <w:rPr>
                <w:b w:val="false"/>
                <w:bCs w:val="false"/>
                <w:sz w:val="20"/>
                <w:szCs w:val="20"/>
              </w:rPr>
              <w:t xml:space="preserve">Validar identidad del solicitante a partir del DNI (RF-02)</w:t>
            </w:r>
          </w:p>
        </w:tc>
        <w:tc>
          <w:tcPr>
            <w:tcW w:type="dxa" w:w="2200"/>
            <w:tcMar>
              <w:top w:type="dxa" w:w="60"/>
              <w:left w:type="dxa" w:w="100"/>
              <w:bottom w:type="dxa" w:w="60"/>
              <w:right w:type="dxa" w:w="100"/>
            </w:tcMar>
            <w:vAlign w:val="center"/>
          </w:tcPr>
          <w:p>
            <w:r>
              <w:rPr>
                <w:b w:val="false"/>
                <w:bCs w:val="false"/>
                <w:sz w:val="20"/>
                <w:szCs w:val="20"/>
              </w:rPr>
              <w:t xml:space="preserve">API vía convenio de confronte de datos (TAD)</w:t>
            </w:r>
          </w:p>
        </w:tc>
        <w:tc>
          <w:tcPr>
            <w:tcW w:type="dxa" w:w="1960"/>
            <w:tcMar>
              <w:top w:type="dxa" w:w="60"/>
              <w:left w:type="dxa" w:w="100"/>
              <w:bottom w:type="dxa" w:w="60"/>
              <w:right w:type="dxa" w:w="100"/>
            </w:tcMar>
            <w:vAlign w:val="center"/>
          </w:tcPr>
          <w:p>
            <w:r>
              <w:rPr>
                <w:b w:val="false"/>
                <w:bCs w:val="false"/>
                <w:sz w:val="20"/>
                <w:szCs w:val="20"/>
              </w:rPr>
              <w:t xml:space="preserve">Cliente aislado RenaperClient; fallback presencial si no disponible (RF-06)</w:t>
            </w:r>
          </w:p>
        </w:tc>
      </w:tr>
      <w:tr>
        <w:tc>
          <w:tcPr>
            <w:tcW w:type="dxa" w:w="2000"/>
            <w:tcMar>
              <w:top w:type="dxa" w:w="60"/>
              <w:left w:type="dxa" w:w="100"/>
              <w:bottom w:type="dxa" w:w="60"/>
              <w:right w:type="dxa" w:w="100"/>
            </w:tcMar>
            <w:vAlign w:val="center"/>
          </w:tcPr>
          <w:p>
            <w:r>
              <w:rPr>
                <w:b w:val="false"/>
                <w:bCs w:val="false"/>
                <w:sz w:val="20"/>
                <w:szCs w:val="20"/>
              </w:rPr>
              <w:t xml:space="preserve">ANSES (verificación local)</w:t>
            </w:r>
          </w:p>
        </w:tc>
        <w:tc>
          <w:tcPr>
            <w:tcW w:type="dxa" w:w="3200"/>
            <w:tcMar>
              <w:top w:type="dxa" w:w="60"/>
              <w:left w:type="dxa" w:w="100"/>
              <w:bottom w:type="dxa" w:w="60"/>
              <w:right w:type="dxa" w:w="100"/>
            </w:tcMar>
            <w:vAlign w:val="center"/>
          </w:tcPr>
          <w:p>
            <w:r>
              <w:rPr>
                <w:b w:val="false"/>
                <w:bCs w:val="false"/>
                <w:sz w:val="20"/>
                <w:szCs w:val="20"/>
              </w:rPr>
              <w:t xml:space="preserve">Extraer CUIL y fecha de emisión del código de barras del PDF de Certificación Negativa (RF-04, RF-05)</w:t>
            </w:r>
          </w:p>
        </w:tc>
        <w:tc>
          <w:tcPr>
            <w:tcW w:type="dxa" w:w="2200"/>
            <w:tcMar>
              <w:top w:type="dxa" w:w="60"/>
              <w:left w:type="dxa" w:w="100"/>
              <w:bottom w:type="dxa" w:w="60"/>
              <w:right w:type="dxa" w:w="100"/>
            </w:tcMar>
            <w:vAlign w:val="center"/>
          </w:tcPr>
          <w:p>
            <w:r>
              <w:rPr>
                <w:b w:val="false"/>
                <w:bCs w:val="false"/>
                <w:sz w:val="20"/>
                <w:szCs w:val="20"/>
              </w:rPr>
              <w:t xml:space="preserve">Procesamiento local del PDF, no hay API pública</w:t>
            </w:r>
          </w:p>
        </w:tc>
        <w:tc>
          <w:tcPr>
            <w:tcW w:type="dxa" w:w="1960"/>
            <w:tcMar>
              <w:top w:type="dxa" w:w="60"/>
              <w:left w:type="dxa" w:w="100"/>
              <w:bottom w:type="dxa" w:w="60"/>
              <w:right w:type="dxa" w:w="100"/>
            </w:tcMar>
            <w:vAlign w:val="center"/>
          </w:tcPr>
          <w:p>
            <w:r>
              <w:rPr>
                <w:b w:val="false"/>
                <w:bCs w:val="false"/>
                <w:sz w:val="20"/>
                <w:szCs w:val="20"/>
              </w:rPr>
              <w:t xml:space="preserve">No es un cliente de terceros; vive en business/applicants</w:t>
            </w:r>
          </w:p>
        </w:tc>
      </w:tr>
      <w:tr>
        <w:tc>
          <w:tcPr>
            <w:tcW w:type="dxa" w:w="2000"/>
            <w:tcMar>
              <w:top w:type="dxa" w:w="60"/>
              <w:left w:type="dxa" w:w="100"/>
              <w:bottom w:type="dxa" w:w="60"/>
              <w:right w:type="dxa" w:w="100"/>
            </w:tcMar>
            <w:vAlign w:val="center"/>
          </w:tcPr>
          <w:p>
            <w:r>
              <w:rPr>
                <w:b w:val="false"/>
                <w:bCs w:val="false"/>
                <w:sz w:val="20"/>
                <w:szCs w:val="20"/>
              </w:rPr>
              <w:t xml:space="preserve">17TRACK</w:t>
            </w:r>
          </w:p>
        </w:tc>
        <w:tc>
          <w:tcPr>
            <w:tcW w:type="dxa" w:w="3200"/>
            <w:tcMar>
              <w:top w:type="dxa" w:w="60"/>
              <w:left w:type="dxa" w:w="100"/>
              <w:bottom w:type="dxa" w:w="60"/>
              <w:right w:type="dxa" w:w="100"/>
            </w:tcMar>
            <w:vAlign w:val="center"/>
          </w:tcPr>
          <w:p>
            <w:r>
              <w:rPr>
                <w:b w:val="false"/>
                <w:bCs w:val="false"/>
                <w:sz w:val="20"/>
                <w:szCs w:val="20"/>
              </w:rPr>
              <w:t xml:space="preserve">Registrar y seguir envíos entre sucursales por Vía Cargo (RF-23, RF-24)</w:t>
            </w:r>
          </w:p>
        </w:tc>
        <w:tc>
          <w:tcPr>
            <w:tcW w:type="dxa" w:w="2200"/>
            <w:tcMar>
              <w:top w:type="dxa" w:w="60"/>
              <w:left w:type="dxa" w:w="100"/>
              <w:bottom w:type="dxa" w:w="60"/>
              <w:right w:type="dxa" w:w="100"/>
            </w:tcMar>
            <w:vAlign w:val="center"/>
          </w:tcPr>
          <w:p>
            <w:r>
              <w:rPr>
                <w:b w:val="false"/>
                <w:bCs w:val="false"/>
                <w:sz w:val="20"/>
                <w:szCs w:val="20"/>
              </w:rPr>
              <w:t xml:space="preserve">REST /register + webhook push</w:t>
            </w:r>
          </w:p>
        </w:tc>
        <w:tc>
          <w:tcPr>
            <w:tcW w:type="dxa" w:w="1960"/>
            <w:tcMar>
              <w:top w:type="dxa" w:w="60"/>
              <w:left w:type="dxa" w:w="100"/>
              <w:bottom w:type="dxa" w:w="60"/>
              <w:right w:type="dxa" w:w="100"/>
            </w:tcMar>
            <w:vAlign w:val="center"/>
          </w:tcPr>
          <w:p>
            <w:r>
              <w:rPr>
                <w:b w:val="false"/>
                <w:bCs w:val="false"/>
                <w:sz w:val="20"/>
                <w:szCs w:val="20"/>
              </w:rPr>
              <w:t xml:space="preserve">Cliente aislado TrackingClient; tier gratuito, 100 envíos/mes</w:t>
            </w:r>
          </w:p>
        </w:tc>
      </w:tr>
      <w:tr>
        <w:tc>
          <w:tcPr>
            <w:tcW w:type="dxa" w:w="2000"/>
            <w:tcMar>
              <w:top w:type="dxa" w:w="60"/>
              <w:left w:type="dxa" w:w="100"/>
              <w:bottom w:type="dxa" w:w="60"/>
              <w:right w:type="dxa" w:w="100"/>
            </w:tcMar>
            <w:vAlign w:val="center"/>
          </w:tcPr>
          <w:p>
            <w:r>
              <w:rPr>
                <w:b w:val="false"/>
                <w:bCs w:val="false"/>
                <w:sz w:val="20"/>
                <w:szCs w:val="20"/>
              </w:rPr>
              <w:t xml:space="preserve">Cloudflare R2</w:t>
            </w:r>
          </w:p>
        </w:tc>
        <w:tc>
          <w:tcPr>
            <w:tcW w:type="dxa" w:w="3200"/>
            <w:tcMar>
              <w:top w:type="dxa" w:w="60"/>
              <w:left w:type="dxa" w:w="100"/>
              <w:bottom w:type="dxa" w:w="60"/>
              <w:right w:type="dxa" w:w="100"/>
            </w:tcMar>
            <w:vAlign w:val="center"/>
          </w:tcPr>
          <w:p>
            <w:r>
              <w:rPr>
                <w:b w:val="false"/>
                <w:bCs w:val="false"/>
                <w:sz w:val="20"/>
                <w:szCs w:val="20"/>
              </w:rPr>
              <w:t xml:space="preserve">Almacenar imágenes de marcos/catálogo y PDFs (recetas, ANSES, comprobantes)</w:t>
            </w:r>
          </w:p>
        </w:tc>
        <w:tc>
          <w:tcPr>
            <w:tcW w:type="dxa" w:w="2200"/>
            <w:tcMar>
              <w:top w:type="dxa" w:w="60"/>
              <w:left w:type="dxa" w:w="100"/>
              <w:bottom w:type="dxa" w:w="60"/>
              <w:right w:type="dxa" w:w="100"/>
            </w:tcMar>
            <w:vAlign w:val="center"/>
          </w:tcPr>
          <w:p>
            <w:r>
              <w:rPr>
                <w:b w:val="false"/>
                <w:bCs w:val="false"/>
                <w:sz w:val="20"/>
                <w:szCs w:val="20"/>
              </w:rPr>
              <w:t xml:space="preserve">API S3-compatible</w:t>
            </w:r>
          </w:p>
        </w:tc>
        <w:tc>
          <w:tcPr>
            <w:tcW w:type="dxa" w:w="1960"/>
            <w:tcMar>
              <w:top w:type="dxa" w:w="60"/>
              <w:left w:type="dxa" w:w="100"/>
              <w:bottom w:type="dxa" w:w="60"/>
              <w:right w:type="dxa" w:w="100"/>
            </w:tcMar>
            <w:vAlign w:val="center"/>
          </w:tcPr>
          <w:p>
            <w:r>
              <w:rPr>
                <w:b w:val="false"/>
                <w:bCs w:val="false"/>
                <w:sz w:val="20"/>
                <w:szCs w:val="20"/>
              </w:rPr>
              <w:t xml:space="preserve">Solo se persiste la URL en PostgreSQL (RNF-07)</w:t>
            </w:r>
          </w:p>
        </w:tc>
      </w:tr>
      <w:tr>
        <w:tc>
          <w:tcPr>
            <w:tcW w:type="dxa" w:w="2000"/>
            <w:tcMar>
              <w:top w:type="dxa" w:w="60"/>
              <w:left w:type="dxa" w:w="100"/>
              <w:bottom w:type="dxa" w:w="60"/>
              <w:right w:type="dxa" w:w="100"/>
            </w:tcMar>
            <w:vAlign w:val="center"/>
          </w:tcPr>
          <w:p>
            <w:r>
              <w:rPr>
                <w:b w:val="false"/>
                <w:bCs w:val="false"/>
                <w:sz w:val="20"/>
                <w:szCs w:val="20"/>
              </w:rPr>
              <w:t xml:space="preserve">MediaPipe Face Mesh</w:t>
            </w:r>
          </w:p>
        </w:tc>
        <w:tc>
          <w:tcPr>
            <w:tcW w:type="dxa" w:w="3200"/>
            <w:tcMar>
              <w:top w:type="dxa" w:w="60"/>
              <w:left w:type="dxa" w:w="100"/>
              <w:bottom w:type="dxa" w:w="60"/>
              <w:right w:type="dxa" w:w="100"/>
            </w:tcMar>
            <w:vAlign w:val="center"/>
          </w:tcPr>
          <w:p>
            <w:r>
              <w:rPr>
                <w:b w:val="false"/>
                <w:bCs w:val="false"/>
                <w:sz w:val="20"/>
                <w:szCs w:val="20"/>
              </w:rPr>
              <w:t xml:space="preserve">Detección de rostro en el navegador para el probador virtual (RF-17)</w:t>
            </w:r>
          </w:p>
        </w:tc>
        <w:tc>
          <w:tcPr>
            <w:tcW w:type="dxa" w:w="2200"/>
            <w:tcMar>
              <w:top w:type="dxa" w:w="60"/>
              <w:left w:type="dxa" w:w="100"/>
              <w:bottom w:type="dxa" w:w="60"/>
              <w:right w:type="dxa" w:w="100"/>
            </w:tcMar>
            <w:vAlign w:val="center"/>
          </w:tcPr>
          <w:p>
            <w:r>
              <w:rPr>
                <w:b w:val="false"/>
                <w:bCs w:val="false"/>
                <w:sz w:val="20"/>
                <w:szCs w:val="20"/>
              </w:rPr>
              <w:t xml:space="preserve">Librería cliente (WASM/JS), sin llamada a servidor</w:t>
            </w:r>
          </w:p>
        </w:tc>
        <w:tc>
          <w:tcPr>
            <w:tcW w:type="dxa" w:w="1960"/>
            <w:tcMar>
              <w:top w:type="dxa" w:w="60"/>
              <w:left w:type="dxa" w:w="100"/>
              <w:bottom w:type="dxa" w:w="60"/>
              <w:right w:type="dxa" w:w="100"/>
            </w:tcMar>
            <w:vAlign w:val="center"/>
          </w:tcPr>
          <w:p>
            <w:r>
              <w:rPr>
                <w:b w:val="false"/>
                <w:bCs w:val="false"/>
                <w:sz w:val="20"/>
                <w:szCs w:val="20"/>
              </w:rPr>
              <w:t xml:space="preserve">Ejecuta 100% en el dispositivo del usuario</w:t>
            </w:r>
          </w:p>
        </w:tc>
      </w:tr>
    </w:tbl>
    <w:p>
      <w:pPr>
        <w:pStyle w:val="Heading3"/>
        <w:spacing w:after="120" w:before="240"/>
      </w:pPr>
      <w:r>
        <w:t xml:space="preserve">3.1.4 Interfaces de comunicación</w:t>
      </w:r>
    </w:p>
    <w:p>
      <w:pPr>
        <w:pStyle w:val="ListParagraph"/>
        <w:numPr>
          <w:ilvl w:val="0"/>
          <w:numId w:val="4"/>
        </w:numPr>
        <w:spacing w:after="60"/>
      </w:pPr>
      <w:r>
        <w:t xml:space="preserve">Toda comunicación frontend↔backend por HTTPS, API REST versionada (/v1/...), JSON en camelCase.</w:t>
      </w:r>
    </w:p>
    <w:p>
      <w:pPr>
        <w:pStyle w:val="ListParagraph"/>
        <w:numPr>
          <w:ilvl w:val="0"/>
          <w:numId w:val="4"/>
        </w:numPr>
        <w:spacing w:after="60"/>
      </w:pPr>
      <w:r>
        <w:t xml:space="preserve">Autenticación stateless por header Authorization: Bearer &lt;JWT&gt;.</w:t>
      </w:r>
    </w:p>
    <w:p>
      <w:pPr>
        <w:pStyle w:val="ListParagraph"/>
        <w:numPr>
          <w:ilvl w:val="0"/>
          <w:numId w:val="4"/>
        </w:numPr>
        <w:spacing w:after="60"/>
      </w:pPr>
      <w:r>
        <w:t xml:space="preserve">Webhook entrante de 17TRACK sobre HTTPS (POST /v1/shipments/webhook), sin sesión de usuario asociada.</w:t>
      </w:r>
    </w:p>
    <w:p>
      <w:pPr>
        <w:pStyle w:val="Heading2"/>
        <w:spacing w:after="150" w:before="300"/>
      </w:pPr>
      <w:r>
        <w:t xml:space="preserve">3.2 Requisitos funcionales</w:t>
      </w:r>
    </w:p>
    <w:p>
      <w:pPr>
        <w:spacing w:after="120"/>
      </w:pPr>
      <w:r>
        <w:t xml:space="preserve">Cada requisito funcional se especifica con: descripción, entradas, proceso, salidas y prioridad (Alta = crítico para el flujo core del banco de anteojos; Media = valor agregado; Baja = mejora/complementario).</w:t>
      </w:r>
    </w:p>
    <w:p>
      <w:pPr>
        <w:pStyle w:val="Heading3"/>
        <w:spacing w:after="120" w:before="240"/>
      </w:pPr>
      <w:r>
        <w:t xml:space="preserve">Módulo 1 — Solicitantes y Validación</w:t>
      </w:r>
    </w:p>
    <w:p>
      <w:pPr>
        <w:spacing w:after="80" w:before="180"/>
      </w:pPr>
      <w:r>
        <w:rPr>
          <w:b/>
          <w:bCs/>
        </w:rPr>
        <w:t xml:space="preserve">RF-01 — Registrar solicitante</w:t>
      </w:r>
    </w:p>
    <w:p>
      <w:pPr>
        <w:pStyle w:val="ListParagraph"/>
        <w:numPr>
          <w:ilvl w:val="0"/>
          <w:numId w:val="4"/>
        </w:numPr>
        <w:spacing w:after="60"/>
      </w:pPr>
      <w:r>
        <w:rPr>
          <w:i/>
          <w:iCs/>
        </w:rPr>
        <w:t xml:space="preserve">Descripción: </w:t>
      </w:r>
      <w:r>
        <w:t xml:space="preserve">el sistema permite registrar un beneficiario con sus datos personales y DNI.</w:t>
      </w:r>
    </w:p>
    <w:p>
      <w:pPr>
        <w:pStyle w:val="ListParagraph"/>
        <w:numPr>
          <w:ilvl w:val="0"/>
          <w:numId w:val="4"/>
        </w:numPr>
        <w:spacing w:after="60"/>
      </w:pPr>
      <w:r>
        <w:rPr>
          <w:i/>
          <w:iCs/>
        </w:rPr>
        <w:t xml:space="preserve">Entradas: </w:t>
      </w:r>
      <w:r>
        <w:t xml:space="preserve">nombre, apellido, DNI, fecha de nacimiento, teléfono, email.</w:t>
      </w:r>
    </w:p>
    <w:p>
      <w:pPr>
        <w:pStyle w:val="ListParagraph"/>
        <w:numPr>
          <w:ilvl w:val="0"/>
          <w:numId w:val="4"/>
        </w:numPr>
        <w:spacing w:after="60"/>
      </w:pPr>
      <w:r>
        <w:rPr>
          <w:i/>
          <w:iCs/>
        </w:rPr>
        <w:t xml:space="preserve">Proceso: </w:t>
      </w:r>
      <w:r>
        <w:t xml:space="preserve">valida formato de DNI y unicidad; crea el registro con identityValidated = false.</w:t>
      </w:r>
    </w:p>
    <w:p>
      <w:pPr>
        <w:pStyle w:val="ListParagraph"/>
        <w:numPr>
          <w:ilvl w:val="0"/>
          <w:numId w:val="4"/>
        </w:numPr>
        <w:spacing w:after="60"/>
      </w:pPr>
      <w:r>
        <w:rPr>
          <w:i/>
          <w:iCs/>
        </w:rPr>
        <w:t xml:space="preserve">Salidas: </w:t>
      </w:r>
      <w:r>
        <w:t xml:space="preserve">solicitante creado, con ID único.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RF-02 — Validación de identidad vía RENAPER</w:t>
      </w:r>
    </w:p>
    <w:p>
      <w:pPr>
        <w:pStyle w:val="ListParagraph"/>
        <w:numPr>
          <w:ilvl w:val="0"/>
          <w:numId w:val="4"/>
        </w:numPr>
        <w:spacing w:after="60"/>
      </w:pPr>
      <w:r>
        <w:rPr>
          <w:i/>
          <w:iCs/>
        </w:rPr>
        <w:t xml:space="preserve">Descripción: </w:t>
      </w:r>
      <w:r>
        <w:t xml:space="preserve">el sistema integra el SID de RENAPER para validar la identidad a partir del DNI.</w:t>
      </w:r>
    </w:p>
    <w:p>
      <w:pPr>
        <w:pStyle w:val="ListParagraph"/>
        <w:numPr>
          <w:ilvl w:val="0"/>
          <w:numId w:val="4"/>
        </w:numPr>
        <w:spacing w:after="60"/>
      </w:pPr>
      <w:r>
        <w:rPr>
          <w:i/>
          <w:iCs/>
        </w:rPr>
        <w:t xml:space="preserve">Entradas: </w:t>
      </w:r>
      <w:r>
        <w:t xml:space="preserve">DNI del solicitante.</w:t>
      </w:r>
    </w:p>
    <w:p>
      <w:pPr>
        <w:pStyle w:val="ListParagraph"/>
        <w:numPr>
          <w:ilvl w:val="0"/>
          <w:numId w:val="4"/>
        </w:numPr>
        <w:spacing w:after="60"/>
      </w:pPr>
      <w:r>
        <w:rPr>
          <w:i/>
          <w:iCs/>
        </w:rPr>
        <w:t xml:space="preserve">Proceso: </w:t>
      </w:r>
      <w:r>
        <w:t xml:space="preserve">consulta al SID; si coincide, marca identityValidated = true.</w:t>
      </w:r>
    </w:p>
    <w:p>
      <w:pPr>
        <w:pStyle w:val="ListParagraph"/>
        <w:numPr>
          <w:ilvl w:val="0"/>
          <w:numId w:val="4"/>
        </w:numPr>
        <w:spacing w:after="60"/>
      </w:pPr>
      <w:r>
        <w:rPr>
          <w:i/>
          <w:iCs/>
        </w:rPr>
        <w:t xml:space="preserve">Salidas: </w:t>
      </w:r>
      <w:r>
        <w:t xml:space="preserve">resultado de validación (validado / no validado / servicio no disponible).</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RF-03 — Carga de PDF de Certificación Negativa de ANSES</w:t>
      </w:r>
    </w:p>
    <w:p>
      <w:pPr>
        <w:pStyle w:val="ListParagraph"/>
        <w:numPr>
          <w:ilvl w:val="0"/>
          <w:numId w:val="4"/>
        </w:numPr>
        <w:spacing w:after="60"/>
      </w:pPr>
      <w:r>
        <w:rPr>
          <w:i/>
          <w:iCs/>
        </w:rPr>
        <w:t xml:space="preserve">Descripción: </w:t>
      </w:r>
      <w:r>
        <w:t xml:space="preserve">el sistema permite adjuntar el PDF de ANSES del solicitante.</w:t>
      </w:r>
    </w:p>
    <w:p>
      <w:pPr>
        <w:pStyle w:val="ListParagraph"/>
        <w:numPr>
          <w:ilvl w:val="0"/>
          <w:numId w:val="4"/>
        </w:numPr>
        <w:spacing w:after="60"/>
      </w:pPr>
      <w:r>
        <w:rPr>
          <w:i/>
          <w:iCs/>
        </w:rPr>
        <w:t xml:space="preserve">Entradas: </w:t>
      </w:r>
      <w:r>
        <w:t xml:space="preserve">archivo PDF.</w:t>
      </w:r>
    </w:p>
    <w:p>
      <w:pPr>
        <w:pStyle w:val="ListParagraph"/>
        <w:numPr>
          <w:ilvl w:val="0"/>
          <w:numId w:val="4"/>
        </w:numPr>
        <w:spacing w:after="60"/>
      </w:pPr>
      <w:r>
        <w:rPr>
          <w:i/>
          <w:iCs/>
        </w:rPr>
        <w:t xml:space="preserve">Proceso: </w:t>
      </w:r>
      <w:r>
        <w:t xml:space="preserve">sube el PDF a Cloudflare R2 y asocia la URL al solicitante.</w:t>
      </w:r>
    </w:p>
    <w:p>
      <w:pPr>
        <w:pStyle w:val="ListParagraph"/>
        <w:numPr>
          <w:ilvl w:val="0"/>
          <w:numId w:val="4"/>
        </w:numPr>
        <w:spacing w:after="60"/>
      </w:pPr>
      <w:r>
        <w:rPr>
          <w:i/>
          <w:iCs/>
        </w:rPr>
        <w:t xml:space="preserve">Salidas: </w:t>
      </w:r>
      <w:r>
        <w:t xml:space="preserve">certificado ANSES registrado, pendiente de verificación.</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RF-04 — Verificación de CUIL por código de barras</w:t>
      </w:r>
    </w:p>
    <w:p>
      <w:pPr>
        <w:pStyle w:val="ListParagraph"/>
        <w:numPr>
          <w:ilvl w:val="0"/>
          <w:numId w:val="4"/>
        </w:numPr>
        <w:spacing w:after="60"/>
      </w:pPr>
      <w:r>
        <w:rPr>
          <w:i/>
          <w:iCs/>
        </w:rPr>
        <w:t xml:space="preserve">Descripción: </w:t>
      </w:r>
      <w:r>
        <w:t xml:space="preserve">el sistema lee el código de barras del PDF de ANSES, extrae el CUIL codificado y verifica que coincide con el solicitante.</w:t>
      </w:r>
    </w:p>
    <w:p>
      <w:pPr>
        <w:pStyle w:val="ListParagraph"/>
        <w:numPr>
          <w:ilvl w:val="0"/>
          <w:numId w:val="4"/>
        </w:numPr>
        <w:spacing w:after="60"/>
      </w:pPr>
      <w:r>
        <w:rPr>
          <w:i/>
          <w:iCs/>
        </w:rPr>
        <w:t xml:space="preserve">Entradas: </w:t>
      </w:r>
      <w:r>
        <w:t xml:space="preserve">PDF cargado en RF-03.</w:t>
      </w:r>
    </w:p>
    <w:p>
      <w:pPr>
        <w:pStyle w:val="ListParagraph"/>
        <w:numPr>
          <w:ilvl w:val="0"/>
          <w:numId w:val="4"/>
        </w:numPr>
        <w:spacing w:after="60"/>
      </w:pPr>
      <w:r>
        <w:rPr>
          <w:i/>
          <w:iCs/>
        </w:rPr>
        <w:t xml:space="preserve">Proceso: </w:t>
      </w:r>
      <w:r>
        <w:t xml:space="preserve">decodifica el código de barras (formato CUIL-NroTransacción); compara el CUIL contra el registrado o lo asocia si es la primera verificación.</w:t>
      </w:r>
    </w:p>
    <w:p>
      <w:pPr>
        <w:pStyle w:val="ListParagraph"/>
        <w:numPr>
          <w:ilvl w:val="0"/>
          <w:numId w:val="4"/>
        </w:numPr>
        <w:spacing w:after="60"/>
      </w:pPr>
      <w:r>
        <w:rPr>
          <w:i/>
          <w:iCs/>
        </w:rPr>
        <w:t xml:space="preserve">Salidas: </w:t>
      </w:r>
      <w:r>
        <w:t xml:space="preserve">coincidencia confirmada o rechazo con motivo.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RF-05 — Verificación de vigencia del certificado ANSES</w:t>
      </w:r>
    </w:p>
    <w:p>
      <w:pPr>
        <w:pStyle w:val="ListParagraph"/>
        <w:numPr>
          <w:ilvl w:val="0"/>
          <w:numId w:val="4"/>
        </w:numPr>
        <w:spacing w:after="60"/>
      </w:pPr>
      <w:r>
        <w:rPr>
          <w:i/>
          <w:iCs/>
        </w:rPr>
        <w:t xml:space="preserve">Descripción: </w:t>
      </w:r>
      <w:r>
        <w:t xml:space="preserve">extrae la fecha de emisión del PDF y rechaza automáticamente documentos con más de 30 días de antigüedad; la validación final queda a criterio del operador.</w:t>
      </w:r>
    </w:p>
    <w:p>
      <w:pPr>
        <w:pStyle w:val="ListParagraph"/>
        <w:numPr>
          <w:ilvl w:val="0"/>
          <w:numId w:val="4"/>
        </w:numPr>
        <w:spacing w:after="60"/>
      </w:pPr>
      <w:r>
        <w:rPr>
          <w:i/>
          <w:iCs/>
        </w:rPr>
        <w:t xml:space="preserve">Entradas: </w:t>
      </w:r>
      <w:r>
        <w:t xml:space="preserve">PDF cargado en RF-03.</w:t>
      </w:r>
    </w:p>
    <w:p>
      <w:pPr>
        <w:pStyle w:val="ListParagraph"/>
        <w:numPr>
          <w:ilvl w:val="0"/>
          <w:numId w:val="4"/>
        </w:numPr>
        <w:spacing w:after="60"/>
      </w:pPr>
      <w:r>
        <w:rPr>
          <w:i/>
          <w:iCs/>
        </w:rPr>
        <w:t xml:space="preserve">Proceso: </w:t>
      </w:r>
      <w:r>
        <w:t xml:space="preserve">calcula antigüedad respecto a la fecha actual; marca como vencido si supera 30 días.</w:t>
      </w:r>
    </w:p>
    <w:p>
      <w:pPr>
        <w:pStyle w:val="ListParagraph"/>
        <w:numPr>
          <w:ilvl w:val="0"/>
          <w:numId w:val="4"/>
        </w:numPr>
        <w:spacing w:after="60"/>
      </w:pPr>
      <w:r>
        <w:rPr>
          <w:i/>
          <w:iCs/>
        </w:rPr>
        <w:t xml:space="preserve">Salidas: </w:t>
      </w:r>
      <w:r>
        <w:t xml:space="preserve">estado de vigencia (vigente/vencido), no bloqueante, informativo para el operador.</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RF-06 — Validación presencial alternativa</w:t>
      </w:r>
    </w:p>
    <w:p>
      <w:pPr>
        <w:pStyle w:val="ListParagraph"/>
        <w:numPr>
          <w:ilvl w:val="0"/>
          <w:numId w:val="4"/>
        </w:numPr>
        <w:spacing w:after="60"/>
      </w:pPr>
      <w:r>
        <w:rPr>
          <w:i/>
          <w:iCs/>
        </w:rPr>
        <w:t xml:space="preserve">Descripción: </w:t>
      </w:r>
      <w:r>
        <w:t xml:space="preserve">ante indisponibilidad del SID de RENAPER, habilita la validación presencial del DNI documentada por el operador como alternativa.</w:t>
      </w:r>
    </w:p>
    <w:p>
      <w:pPr>
        <w:pStyle w:val="ListParagraph"/>
        <w:numPr>
          <w:ilvl w:val="0"/>
          <w:numId w:val="4"/>
        </w:numPr>
        <w:spacing w:after="60"/>
      </w:pPr>
      <w:r>
        <w:rPr>
          <w:i/>
          <w:iCs/>
        </w:rPr>
        <w:t xml:space="preserve">Entradas: </w:t>
      </w:r>
      <w:r>
        <w:t xml:space="preserve">confirmación manual del operador (DNI físico verificado).</w:t>
      </w:r>
    </w:p>
    <w:p>
      <w:pPr>
        <w:pStyle w:val="ListParagraph"/>
        <w:numPr>
          <w:ilvl w:val="0"/>
          <w:numId w:val="4"/>
        </w:numPr>
        <w:spacing w:after="60"/>
      </w:pPr>
      <w:r>
        <w:rPr>
          <w:i/>
          <w:iCs/>
        </w:rPr>
        <w:t xml:space="preserve">Proceso: </w:t>
      </w:r>
      <w:r>
        <w:t xml:space="preserve">registra la validación como manual, con el operador responsable.</w:t>
      </w:r>
    </w:p>
    <w:p>
      <w:pPr>
        <w:pStyle w:val="ListParagraph"/>
        <w:numPr>
          <w:ilvl w:val="0"/>
          <w:numId w:val="4"/>
        </w:numPr>
        <w:spacing w:after="60"/>
      </w:pPr>
      <w:r>
        <w:rPr>
          <w:i/>
          <w:iCs/>
        </w:rPr>
        <w:t xml:space="preserve">Salidas: </w:t>
      </w:r>
      <w:r>
        <w:t xml:space="preserve">identityValidated = true por vía alternativa, trazado como tal.</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RF-07 — Registrar receta médica</w:t>
      </w:r>
    </w:p>
    <w:p>
      <w:pPr>
        <w:pStyle w:val="ListParagraph"/>
        <w:numPr>
          <w:ilvl w:val="0"/>
          <w:numId w:val="4"/>
        </w:numPr>
        <w:spacing w:after="60"/>
      </w:pPr>
      <w:r>
        <w:rPr>
          <w:i/>
          <w:iCs/>
        </w:rPr>
        <w:t xml:space="preserve">Descripción: </w:t>
      </w:r>
      <w:r>
        <w:t xml:space="preserve">el sistema permite registrar la receta (graduación) del beneficiario.</w:t>
      </w:r>
    </w:p>
    <w:p>
      <w:pPr>
        <w:pStyle w:val="ListParagraph"/>
        <w:numPr>
          <w:ilvl w:val="0"/>
          <w:numId w:val="4"/>
        </w:numPr>
        <w:spacing w:after="60"/>
      </w:pPr>
      <w:r>
        <w:rPr>
          <w:i/>
          <w:iCs/>
        </w:rPr>
        <w:t xml:space="preserve">Entradas: </w:t>
      </w:r>
      <w:r>
        <w:t xml:space="preserve">valores de graduación (por ojo), archivo de la receta (opcional).</w:t>
      </w:r>
    </w:p>
    <w:p>
      <w:pPr>
        <w:pStyle w:val="ListParagraph"/>
        <w:numPr>
          <w:ilvl w:val="0"/>
          <w:numId w:val="4"/>
        </w:numPr>
        <w:spacing w:after="60"/>
      </w:pPr>
      <w:r>
        <w:rPr>
          <w:i/>
          <w:iCs/>
        </w:rPr>
        <w:t xml:space="preserve">Proceso: </w:t>
      </w:r>
      <w:r>
        <w:t xml:space="preserve">asocia la receta al solicitante; puede haber más de una en el tiempo.</w:t>
      </w:r>
    </w:p>
    <w:p>
      <w:pPr>
        <w:pStyle w:val="ListParagraph"/>
        <w:numPr>
          <w:ilvl w:val="0"/>
          <w:numId w:val="4"/>
        </w:numPr>
        <w:spacing w:after="60"/>
      </w:pPr>
      <w:r>
        <w:rPr>
          <w:i/>
          <w:iCs/>
        </w:rPr>
        <w:t xml:space="preserve">Salidas: </w:t>
      </w:r>
      <w:r>
        <w:t xml:space="preserve">receta registrada, disponible para el algoritmo de match (RF-14).</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RF-08 — Consultar, editar y listar solicitantes</w:t>
      </w:r>
    </w:p>
    <w:p>
      <w:pPr>
        <w:pStyle w:val="ListParagraph"/>
        <w:numPr>
          <w:ilvl w:val="0"/>
          <w:numId w:val="4"/>
        </w:numPr>
        <w:spacing w:after="60"/>
      </w:pPr>
      <w:r>
        <w:rPr>
          <w:i/>
          <w:iCs/>
        </w:rPr>
        <w:t xml:space="preserve">Descripción: </w:t>
      </w:r>
      <w:r>
        <w:t xml:space="preserve">permite listar, buscar, ver el detalle y editar los datos de un solicitante.</w:t>
      </w:r>
    </w:p>
    <w:p>
      <w:pPr>
        <w:pStyle w:val="ListParagraph"/>
        <w:numPr>
          <w:ilvl w:val="0"/>
          <w:numId w:val="4"/>
        </w:numPr>
        <w:spacing w:after="60"/>
      </w:pPr>
      <w:r>
        <w:rPr>
          <w:i/>
          <w:iCs/>
        </w:rPr>
        <w:t xml:space="preserve">Entradas: </w:t>
      </w:r>
      <w:r>
        <w:t xml:space="preserve">filtros de búsqueda (DNI, nombre) o ID de solicitante; datos a editar.</w:t>
      </w:r>
    </w:p>
    <w:p>
      <w:pPr>
        <w:pStyle w:val="ListParagraph"/>
        <w:numPr>
          <w:ilvl w:val="0"/>
          <w:numId w:val="4"/>
        </w:numPr>
        <w:spacing w:after="60"/>
      </w:pPr>
      <w:r>
        <w:rPr>
          <w:i/>
          <w:iCs/>
        </w:rPr>
        <w:t xml:space="preserve">Proceso: </w:t>
      </w:r>
      <w:r>
        <w:t xml:space="preserve">consulta paginada; edición valida los mismos formatos que el alta (DNI no editable post-creación, por ser la identidad validada contra RENAPER).</w:t>
      </w:r>
    </w:p>
    <w:p>
      <w:pPr>
        <w:pStyle w:val="ListParagraph"/>
        <w:numPr>
          <w:ilvl w:val="0"/>
          <w:numId w:val="4"/>
        </w:numPr>
        <w:spacing w:after="60"/>
      </w:pPr>
      <w:r>
        <w:rPr>
          <w:i/>
          <w:iCs/>
        </w:rPr>
        <w:t xml:space="preserve">Salidas: </w:t>
      </w:r>
      <w:r>
        <w:t xml:space="preserve">listado, detalle o confirmación de edición.</w:t>
      </w:r>
    </w:p>
    <w:p>
      <w:pPr>
        <w:pStyle w:val="ListParagraph"/>
        <w:numPr>
          <w:ilvl w:val="0"/>
          <w:numId w:val="4"/>
        </w:numPr>
        <w:spacing w:after="60"/>
      </w:pPr>
      <w:r>
        <w:rPr>
          <w:i/>
          <w:iCs/>
        </w:rPr>
        <w:t xml:space="preserve">Prioridad: </w:t>
      </w:r>
      <w:r>
        <w:rPr>
          <w:b/>
          <w:bCs/>
        </w:rPr>
        <w:t xml:space="preserve">Alta</w:t>
      </w:r>
    </w:p>
    <w:p>
      <w:pPr>
        <w:pStyle w:val="Heading3"/>
        <w:spacing w:after="120" w:before="240"/>
      </w:pPr>
      <w:r>
        <w:t xml:space="preserve">Módulo 2 — Donaciones</w:t>
      </w:r>
    </w:p>
    <w:p>
      <w:pPr>
        <w:spacing w:after="80" w:before="180"/>
      </w:pPr>
      <w:r>
        <w:rPr>
          <w:b/>
          <w:bCs/>
        </w:rPr>
        <w:t xml:space="preserve">RF-09 — Registrar donante</w:t>
      </w:r>
    </w:p>
    <w:p>
      <w:pPr>
        <w:pStyle w:val="ListParagraph"/>
        <w:numPr>
          <w:ilvl w:val="0"/>
          <w:numId w:val="4"/>
        </w:numPr>
        <w:spacing w:after="60"/>
      </w:pPr>
      <w:r>
        <w:rPr>
          <w:i/>
          <w:iCs/>
        </w:rPr>
        <w:t xml:space="preserve">Descripción: </w:t>
      </w:r>
      <w:r>
        <w:t xml:space="preserve">permite registrar un donante, persona física o entidad.</w:t>
      </w:r>
    </w:p>
    <w:p>
      <w:pPr>
        <w:pStyle w:val="ListParagraph"/>
        <w:numPr>
          <w:ilvl w:val="0"/>
          <w:numId w:val="4"/>
        </w:numPr>
        <w:spacing w:after="60"/>
      </w:pPr>
      <w:r>
        <w:rPr>
          <w:i/>
          <w:iCs/>
        </w:rPr>
        <w:t xml:space="preserve">Entradas: </w:t>
      </w:r>
      <w:r>
        <w:t xml:space="preserve">tipo de donante, datos de contacto.</w:t>
      </w:r>
    </w:p>
    <w:p>
      <w:pPr>
        <w:pStyle w:val="ListParagraph"/>
        <w:numPr>
          <w:ilvl w:val="0"/>
          <w:numId w:val="4"/>
        </w:numPr>
        <w:spacing w:after="60"/>
      </w:pPr>
      <w:r>
        <w:rPr>
          <w:i/>
          <w:iCs/>
        </w:rPr>
        <w:t xml:space="preserve">Proceso: </w:t>
      </w:r>
      <w:r>
        <w:t xml:space="preserve">valida datos mínimos según tipo; crea el registro.</w:t>
      </w:r>
    </w:p>
    <w:p>
      <w:pPr>
        <w:pStyle w:val="ListParagraph"/>
        <w:numPr>
          <w:ilvl w:val="0"/>
          <w:numId w:val="4"/>
        </w:numPr>
        <w:spacing w:after="60"/>
      </w:pPr>
      <w:r>
        <w:rPr>
          <w:i/>
          <w:iCs/>
        </w:rPr>
        <w:t xml:space="preserve">Salidas: </w:t>
      </w:r>
      <w:r>
        <w:t xml:space="preserve">donante creado con ID único.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RF-10 — Registrar recepción de marcos donados</w:t>
      </w:r>
    </w:p>
    <w:p>
      <w:pPr>
        <w:pStyle w:val="ListParagraph"/>
        <w:numPr>
          <w:ilvl w:val="0"/>
          <w:numId w:val="4"/>
        </w:numPr>
        <w:spacing w:after="60"/>
      </w:pPr>
      <w:r>
        <w:rPr>
          <w:i/>
          <w:iCs/>
        </w:rPr>
        <w:t xml:space="preserve">Descripción: </w:t>
      </w:r>
      <w:r>
        <w:t xml:space="preserve">registra la recepción de marcos donados, asignando a cada uno un identificador único (precinto).</w:t>
      </w:r>
    </w:p>
    <w:p>
      <w:pPr>
        <w:pStyle w:val="ListParagraph"/>
        <w:numPr>
          <w:ilvl w:val="0"/>
          <w:numId w:val="4"/>
        </w:numPr>
        <w:spacing w:after="60"/>
      </w:pPr>
      <w:r>
        <w:rPr>
          <w:i/>
          <w:iCs/>
        </w:rPr>
        <w:t xml:space="preserve">Entradas: </w:t>
      </w:r>
      <w:r>
        <w:t xml:space="preserve">donante, cantidad y datos de cada marco.</w:t>
      </w:r>
    </w:p>
    <w:p>
      <w:pPr>
        <w:pStyle w:val="ListParagraph"/>
        <w:numPr>
          <w:ilvl w:val="0"/>
          <w:numId w:val="4"/>
        </w:numPr>
        <w:spacing w:after="60"/>
      </w:pPr>
      <w:r>
        <w:rPr>
          <w:i/>
          <w:iCs/>
        </w:rPr>
        <w:t xml:space="preserve">Proceso: </w:t>
      </w:r>
      <w:r>
        <w:t xml:space="preserve">crea un Frame por unidad, vinculado al donante, en estado AVAILABLE.</w:t>
      </w:r>
    </w:p>
    <w:p>
      <w:pPr>
        <w:pStyle w:val="ListParagraph"/>
        <w:numPr>
          <w:ilvl w:val="0"/>
          <w:numId w:val="4"/>
        </w:numPr>
        <w:spacing w:after="60"/>
      </w:pPr>
      <w:r>
        <w:rPr>
          <w:i/>
          <w:iCs/>
        </w:rPr>
        <w:t xml:space="preserve">Salidas: </w:t>
      </w:r>
      <w:r>
        <w:t xml:space="preserve">marcos registrados en inventario.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RF-11 — Clasificar marcos por atributos</w:t>
      </w:r>
    </w:p>
    <w:p>
      <w:pPr>
        <w:pStyle w:val="ListParagraph"/>
        <w:numPr>
          <w:ilvl w:val="0"/>
          <w:numId w:val="4"/>
        </w:numPr>
        <w:spacing w:after="60"/>
      </w:pPr>
      <w:r>
        <w:rPr>
          <w:i/>
          <w:iCs/>
        </w:rPr>
        <w:t xml:space="preserve">Descripción: </w:t>
      </w:r>
      <w:r>
        <w:t xml:space="preserve">permite clasificar los marcos según tipo, material y medidas.</w:t>
      </w:r>
    </w:p>
    <w:p>
      <w:pPr>
        <w:pStyle w:val="ListParagraph"/>
        <w:numPr>
          <w:ilvl w:val="0"/>
          <w:numId w:val="4"/>
        </w:numPr>
        <w:spacing w:after="60"/>
      </w:pPr>
      <w:r>
        <w:rPr>
          <w:i/>
          <w:iCs/>
        </w:rPr>
        <w:t xml:space="preserve">Entradas: </w:t>
      </w:r>
      <w:r>
        <w:t xml:space="preserve">tipo de marco, material, medidas.</w:t>
      </w:r>
    </w:p>
    <w:p>
      <w:pPr>
        <w:pStyle w:val="ListParagraph"/>
        <w:numPr>
          <w:ilvl w:val="0"/>
          <w:numId w:val="4"/>
        </w:numPr>
        <w:spacing w:after="60"/>
      </w:pPr>
      <w:r>
        <w:rPr>
          <w:i/>
          <w:iCs/>
        </w:rPr>
        <w:t xml:space="preserve">Proceso: </w:t>
      </w:r>
      <w:r>
        <w:t xml:space="preserve">persiste los atributos como parte del Frame, usados luego por el algoritmo de match.</w:t>
      </w:r>
    </w:p>
    <w:p>
      <w:pPr>
        <w:pStyle w:val="ListParagraph"/>
        <w:numPr>
          <w:ilvl w:val="0"/>
          <w:numId w:val="4"/>
        </w:numPr>
        <w:spacing w:after="60"/>
      </w:pPr>
      <w:r>
        <w:rPr>
          <w:i/>
          <w:iCs/>
        </w:rPr>
        <w:t xml:space="preserve">Salidas: </w:t>
      </w:r>
      <w:r>
        <w:t xml:space="preserve">marco clasificado.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RF-12 — Consultar y listar donaciones y donantes</w:t>
      </w:r>
    </w:p>
    <w:p>
      <w:pPr>
        <w:pStyle w:val="ListParagraph"/>
        <w:numPr>
          <w:ilvl w:val="0"/>
          <w:numId w:val="4"/>
        </w:numPr>
        <w:spacing w:after="60"/>
      </w:pPr>
      <w:r>
        <w:rPr>
          <w:i/>
          <w:iCs/>
        </w:rPr>
        <w:t xml:space="preserve">Descripción: </w:t>
      </w:r>
      <w:r>
        <w:t xml:space="preserve">permite consultar el historial de donaciones por donante y listar donantes.</w:t>
      </w:r>
    </w:p>
    <w:p>
      <w:pPr>
        <w:pStyle w:val="ListParagraph"/>
        <w:numPr>
          <w:ilvl w:val="0"/>
          <w:numId w:val="4"/>
        </w:numPr>
        <w:spacing w:after="60"/>
      </w:pPr>
      <w:r>
        <w:rPr>
          <w:i/>
          <w:iCs/>
        </w:rPr>
        <w:t xml:space="preserve">Entradas: </w:t>
      </w:r>
      <w:r>
        <w:t xml:space="preserve">filtros de búsqueda.</w:t>
      </w:r>
    </w:p>
    <w:p>
      <w:pPr>
        <w:pStyle w:val="ListParagraph"/>
        <w:numPr>
          <w:ilvl w:val="0"/>
          <w:numId w:val="4"/>
        </w:numPr>
        <w:spacing w:after="60"/>
      </w:pPr>
      <w:r>
        <w:rPr>
          <w:i/>
          <w:iCs/>
        </w:rPr>
        <w:t xml:space="preserve">Proceso: </w:t>
      </w:r>
      <w:r>
        <w:t xml:space="preserve">consulta paginada.</w:t>
      </w:r>
    </w:p>
    <w:p>
      <w:pPr>
        <w:pStyle w:val="ListParagraph"/>
        <w:numPr>
          <w:ilvl w:val="0"/>
          <w:numId w:val="4"/>
        </w:numPr>
        <w:spacing w:after="60"/>
      </w:pPr>
      <w:r>
        <w:rPr>
          <w:i/>
          <w:iCs/>
        </w:rPr>
        <w:t xml:space="preserve">Salidas: </w:t>
      </w:r>
      <w:r>
        <w:t xml:space="preserve">listado de donantes / marcos donados por donante.</w:t>
      </w:r>
    </w:p>
    <w:p>
      <w:pPr>
        <w:pStyle w:val="ListParagraph"/>
        <w:numPr>
          <w:ilvl w:val="0"/>
          <w:numId w:val="4"/>
        </w:numPr>
        <w:spacing w:after="60"/>
      </w:pPr>
      <w:r>
        <w:rPr>
          <w:i/>
          <w:iCs/>
        </w:rPr>
        <w:t xml:space="preserve">Prioridad: </w:t>
      </w:r>
      <w:r>
        <w:rPr>
          <w:b/>
          <w:bCs/>
        </w:rPr>
        <w:t xml:space="preserve">Media</w:t>
      </w:r>
    </w:p>
    <w:p>
      <w:pPr>
        <w:pStyle w:val="Heading3"/>
        <w:spacing w:after="120" w:before="240"/>
      </w:pPr>
      <w:r>
        <w:t xml:space="preserve">Módulo 3 — Inventario, Asignación y Trazabilidad</w:t>
      </w:r>
    </w:p>
    <w:p>
      <w:pPr>
        <w:spacing w:after="80" w:before="180"/>
      </w:pPr>
      <w:r>
        <w:rPr>
          <w:b/>
          <w:bCs/>
        </w:rPr>
        <w:t xml:space="preserve">RF-13 — Inventario en tiempo real</w:t>
      </w:r>
    </w:p>
    <w:p>
      <w:pPr>
        <w:pStyle w:val="ListParagraph"/>
        <w:numPr>
          <w:ilvl w:val="0"/>
          <w:numId w:val="4"/>
        </w:numPr>
        <w:spacing w:after="60"/>
      </w:pPr>
      <w:r>
        <w:rPr>
          <w:i/>
          <w:iCs/>
        </w:rPr>
        <w:t xml:space="preserve">Descripción: </w:t>
      </w:r>
      <w:r>
        <w:t xml:space="preserve">mantiene el control de inventario en tiempo real de los marcos disponibles.</w:t>
      </w:r>
    </w:p>
    <w:p>
      <w:pPr>
        <w:pStyle w:val="ListParagraph"/>
        <w:numPr>
          <w:ilvl w:val="0"/>
          <w:numId w:val="4"/>
        </w:numPr>
        <w:spacing w:after="60"/>
      </w:pPr>
      <w:r>
        <w:rPr>
          <w:i/>
          <w:iCs/>
        </w:rPr>
        <w:t xml:space="preserve">Entradas: </w:t>
      </w:r>
      <w:r>
        <w:t xml:space="preserve">altas/bajas/cambios de estado de marcos.</w:t>
      </w:r>
    </w:p>
    <w:p>
      <w:pPr>
        <w:pStyle w:val="ListParagraph"/>
        <w:numPr>
          <w:ilvl w:val="0"/>
          <w:numId w:val="4"/>
        </w:numPr>
        <w:spacing w:after="60"/>
      </w:pPr>
      <w:r>
        <w:rPr>
          <w:i/>
          <w:iCs/>
        </w:rPr>
        <w:t xml:space="preserve">Proceso: </w:t>
      </w:r>
      <w:r>
        <w:t xml:space="preserve">cada transición de estado (AVAILABLE → ASSIGNED → AT_OPTICIAN → READY → DELIVERED, o DISCARDED) se refleja de inmediato en la consulta de inventario.</w:t>
      </w:r>
    </w:p>
    <w:p>
      <w:pPr>
        <w:pStyle w:val="ListParagraph"/>
        <w:numPr>
          <w:ilvl w:val="0"/>
          <w:numId w:val="4"/>
        </w:numPr>
        <w:spacing w:after="60"/>
      </w:pPr>
      <w:r>
        <w:rPr>
          <w:i/>
          <w:iCs/>
        </w:rPr>
        <w:t xml:space="preserve">Salidas: </w:t>
      </w:r>
      <w:r>
        <w:t xml:space="preserve">vista de inventario actualizada, filtrable por estado/atributos.</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RF-14 — Algoritmo de match receta↔marco</w:t>
      </w:r>
    </w:p>
    <w:p>
      <w:pPr>
        <w:pStyle w:val="ListParagraph"/>
        <w:numPr>
          <w:ilvl w:val="0"/>
          <w:numId w:val="4"/>
        </w:numPr>
        <w:spacing w:after="60"/>
      </w:pPr>
      <w:r>
        <w:rPr>
          <w:i/>
          <w:iCs/>
        </w:rPr>
        <w:t xml:space="preserve">Descripción: </w:t>
      </w:r>
      <w:r>
        <w:t xml:space="preserve">ejecuta un match entre la receta médica del beneficiario y los atributos de los marcos disponibles.</w:t>
      </w:r>
    </w:p>
    <w:p>
      <w:pPr>
        <w:pStyle w:val="ListParagraph"/>
        <w:numPr>
          <w:ilvl w:val="0"/>
          <w:numId w:val="4"/>
        </w:numPr>
        <w:spacing w:after="60"/>
      </w:pPr>
      <w:r>
        <w:rPr>
          <w:i/>
          <w:iCs/>
        </w:rPr>
        <w:t xml:space="preserve">Entradas: </w:t>
      </w:r>
      <w:r>
        <w:t xml:space="preserve">receta del beneficiario, inventario disponible.</w:t>
      </w:r>
    </w:p>
    <w:p>
      <w:pPr>
        <w:pStyle w:val="ListParagraph"/>
        <w:numPr>
          <w:ilvl w:val="0"/>
          <w:numId w:val="4"/>
        </w:numPr>
        <w:spacing w:after="60"/>
      </w:pPr>
      <w:r>
        <w:rPr>
          <w:i/>
          <w:iCs/>
        </w:rPr>
        <w:t xml:space="preserve">Proceso: </w:t>
      </w:r>
      <w:r>
        <w:t xml:space="preserve">filtra/ordena marcos candidatos según compatibilidad con la graduación y atributos requeridos.</w:t>
      </w:r>
    </w:p>
    <w:p>
      <w:pPr>
        <w:pStyle w:val="ListParagraph"/>
        <w:numPr>
          <w:ilvl w:val="0"/>
          <w:numId w:val="4"/>
        </w:numPr>
        <w:spacing w:after="60"/>
      </w:pPr>
      <w:r>
        <w:rPr>
          <w:i/>
          <w:iCs/>
        </w:rPr>
        <w:t xml:space="preserve">Salidas: </w:t>
      </w:r>
      <w:r>
        <w:t xml:space="preserve">lista de marcos candidatos para asignar.</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RF-15 — Asignar marco a beneficiario</w:t>
      </w:r>
    </w:p>
    <w:p>
      <w:pPr>
        <w:pStyle w:val="ListParagraph"/>
        <w:numPr>
          <w:ilvl w:val="0"/>
          <w:numId w:val="4"/>
        </w:numPr>
        <w:spacing w:after="60"/>
      </w:pPr>
      <w:r>
        <w:rPr>
          <w:i/>
          <w:iCs/>
        </w:rPr>
        <w:t xml:space="preserve">Descripción: </w:t>
      </w:r>
      <w:r>
        <w:t xml:space="preserve">permite asignar un marco a un beneficiario y descuenta la unidad del inventario.</w:t>
      </w:r>
    </w:p>
    <w:p>
      <w:pPr>
        <w:pStyle w:val="ListParagraph"/>
        <w:numPr>
          <w:ilvl w:val="0"/>
          <w:numId w:val="4"/>
        </w:numPr>
        <w:spacing w:after="60"/>
      </w:pPr>
      <w:r>
        <w:rPr>
          <w:i/>
          <w:iCs/>
        </w:rPr>
        <w:t xml:space="preserve">Entradas: </w:t>
      </w:r>
      <w:r>
        <w:t xml:space="preserve">solicitante, receta, marco elegido.</w:t>
      </w:r>
    </w:p>
    <w:p>
      <w:pPr>
        <w:pStyle w:val="ListParagraph"/>
        <w:numPr>
          <w:ilvl w:val="0"/>
          <w:numId w:val="4"/>
        </w:numPr>
        <w:spacing w:after="60"/>
      </w:pPr>
      <w:r>
        <w:rPr>
          <w:i/>
          <w:iCs/>
        </w:rPr>
        <w:t xml:space="preserve">Proceso: </w:t>
      </w:r>
      <w:r>
        <w:t xml:space="preserve">crea una Assignment, cambia el marco a ASSIGNED.</w:t>
      </w:r>
    </w:p>
    <w:p>
      <w:pPr>
        <w:pStyle w:val="ListParagraph"/>
        <w:numPr>
          <w:ilvl w:val="0"/>
          <w:numId w:val="4"/>
        </w:numPr>
        <w:spacing w:after="60"/>
      </w:pPr>
      <w:r>
        <w:rPr>
          <w:i/>
          <w:iCs/>
        </w:rPr>
        <w:t xml:space="preserve">Salidas: </w:t>
      </w:r>
      <w:r>
        <w:t xml:space="preserve">asignación creada, marco removido del inventario disponible.</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RF-16 — Trazabilidad end-to-end</w:t>
      </w:r>
    </w:p>
    <w:p>
      <w:pPr>
        <w:pStyle w:val="ListParagraph"/>
        <w:numPr>
          <w:ilvl w:val="0"/>
          <w:numId w:val="4"/>
        </w:numPr>
        <w:spacing w:after="60"/>
      </w:pPr>
      <w:r>
        <w:rPr>
          <w:i/>
          <w:iCs/>
        </w:rPr>
        <w:t xml:space="preserve">Descripción: </w:t>
      </w:r>
      <w:r>
        <w:t xml:space="preserve">mantiene la trazabilidad de cada par de anteojos desde la donación hasta la entrega.</w:t>
      </w:r>
    </w:p>
    <w:p>
      <w:pPr>
        <w:pStyle w:val="ListParagraph"/>
        <w:numPr>
          <w:ilvl w:val="0"/>
          <w:numId w:val="4"/>
        </w:numPr>
        <w:spacing w:after="60"/>
      </w:pPr>
      <w:r>
        <w:rPr>
          <w:i/>
          <w:iCs/>
        </w:rPr>
        <w:t xml:space="preserve">Entradas: </w:t>
      </w:r>
      <w:r>
        <w:t xml:space="preserve">eventos de ciclo de vida (envío a óptica, retorno, entrega, cancelación).</w:t>
      </w:r>
    </w:p>
    <w:p>
      <w:pPr>
        <w:pStyle w:val="ListParagraph"/>
        <w:numPr>
          <w:ilvl w:val="0"/>
          <w:numId w:val="4"/>
        </w:numPr>
        <w:spacing w:after="60"/>
      </w:pPr>
      <w:r>
        <w:rPr>
          <w:i/>
          <w:iCs/>
        </w:rPr>
        <w:t xml:space="preserve">Proceso: </w:t>
      </w:r>
      <w:r>
        <w:t xml:space="preserve">cada transición queda registrada con fecha y responsable, consultable desde la asignación.</w:t>
      </w:r>
    </w:p>
    <w:p>
      <w:pPr>
        <w:pStyle w:val="ListParagraph"/>
        <w:numPr>
          <w:ilvl w:val="0"/>
          <w:numId w:val="4"/>
        </w:numPr>
        <w:spacing w:after="60"/>
      </w:pPr>
      <w:r>
        <w:rPr>
          <w:i/>
          <w:iCs/>
        </w:rPr>
        <w:t xml:space="preserve">Salidas: </w:t>
      </w:r>
      <w:r>
        <w:t xml:space="preserve">historial completo consultable por asignación o por marco.</w:t>
      </w:r>
    </w:p>
    <w:p>
      <w:pPr>
        <w:pStyle w:val="ListParagraph"/>
        <w:numPr>
          <w:ilvl w:val="0"/>
          <w:numId w:val="4"/>
        </w:numPr>
        <w:spacing w:after="60"/>
      </w:pPr>
      <w:r>
        <w:rPr>
          <w:i/>
          <w:iCs/>
        </w:rPr>
        <w:t xml:space="preserve">Prioridad: </w:t>
      </w:r>
      <w:r>
        <w:rPr>
          <w:b/>
          <w:bCs/>
        </w:rPr>
        <w:t xml:space="preserve">Alta</w:t>
      </w:r>
    </w:p>
    <w:p>
      <w:pPr>
        <w:pStyle w:val="Heading3"/>
        <w:spacing w:after="120" w:before="240"/>
      </w:pPr>
      <w:r>
        <w:t xml:space="preserve">Módulo 4 — Probador Virtual</w:t>
      </w:r>
    </w:p>
    <w:p>
      <w:pPr>
        <w:spacing w:after="80" w:before="180"/>
      </w:pPr>
      <w:r>
        <w:rPr>
          <w:b/>
          <w:bCs/>
        </w:rPr>
        <w:t xml:space="preserve">RF-17 — Detección de rostro</w:t>
      </w:r>
    </w:p>
    <w:p>
      <w:pPr>
        <w:pStyle w:val="ListParagraph"/>
        <w:numPr>
          <w:ilvl w:val="0"/>
          <w:numId w:val="4"/>
        </w:numPr>
        <w:spacing w:after="60"/>
      </w:pPr>
      <w:r>
        <w:rPr>
          <w:i/>
          <w:iCs/>
        </w:rPr>
        <w:t xml:space="preserve">Descripción: </w:t>
      </w:r>
      <w:r>
        <w:t xml:space="preserve">detecta el rostro sobre una foto estática del beneficiario usando MediaPipe Face Mesh.</w:t>
      </w:r>
    </w:p>
    <w:p>
      <w:pPr>
        <w:pStyle w:val="ListParagraph"/>
        <w:numPr>
          <w:ilvl w:val="0"/>
          <w:numId w:val="4"/>
        </w:numPr>
        <w:spacing w:after="60"/>
      </w:pPr>
      <w:r>
        <w:rPr>
          <w:i/>
          <w:iCs/>
        </w:rPr>
        <w:t xml:space="preserve">Entradas: </w:t>
      </w:r>
      <w:r>
        <w:t xml:space="preserve">foto estática (cámara o archivo).</w:t>
      </w:r>
    </w:p>
    <w:p>
      <w:pPr>
        <w:pStyle w:val="ListParagraph"/>
        <w:numPr>
          <w:ilvl w:val="0"/>
          <w:numId w:val="4"/>
        </w:numPr>
        <w:spacing w:after="60"/>
      </w:pPr>
      <w:r>
        <w:rPr>
          <w:i/>
          <w:iCs/>
        </w:rPr>
        <w:t xml:space="preserve">Proceso: </w:t>
      </w:r>
      <w:r>
        <w:t xml:space="preserve">procesamiento client-side con MediaPipe; si falla, degrada a estado "no disponible" sin romper el resto de la app.</w:t>
      </w:r>
    </w:p>
    <w:p>
      <w:pPr>
        <w:pStyle w:val="ListParagraph"/>
        <w:numPr>
          <w:ilvl w:val="0"/>
          <w:numId w:val="4"/>
        </w:numPr>
        <w:spacing w:after="60"/>
      </w:pPr>
      <w:r>
        <w:rPr>
          <w:i/>
          <w:iCs/>
        </w:rPr>
        <w:t xml:space="preserve">Salidas: </w:t>
      </w:r>
      <w:r>
        <w:t xml:space="preserve">puntos de referencia faciales (landmarks).</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RF-18 — Superposición 2D del marco</w:t>
      </w:r>
    </w:p>
    <w:p>
      <w:pPr>
        <w:pStyle w:val="ListParagraph"/>
        <w:numPr>
          <w:ilvl w:val="0"/>
          <w:numId w:val="4"/>
        </w:numPr>
        <w:spacing w:after="60"/>
      </w:pPr>
      <w:r>
        <w:rPr>
          <w:i/>
          <w:iCs/>
        </w:rPr>
        <w:t xml:space="preserve">Descripción: </w:t>
      </w:r>
      <w:r>
        <w:t xml:space="preserve">superpone en 2D (Canvas) el marco seleccionado sobre la foto del beneficiario.</w:t>
      </w:r>
    </w:p>
    <w:p>
      <w:pPr>
        <w:pStyle w:val="ListParagraph"/>
        <w:numPr>
          <w:ilvl w:val="0"/>
          <w:numId w:val="4"/>
        </w:numPr>
        <w:spacing w:after="60"/>
      </w:pPr>
      <w:r>
        <w:rPr>
          <w:i/>
          <w:iCs/>
        </w:rPr>
        <w:t xml:space="preserve">Entradas: </w:t>
      </w:r>
      <w:r>
        <w:t xml:space="preserve">landmarks de RF-17, imagen del marco.</w:t>
      </w:r>
    </w:p>
    <w:p>
      <w:pPr>
        <w:pStyle w:val="ListParagraph"/>
        <w:numPr>
          <w:ilvl w:val="0"/>
          <w:numId w:val="4"/>
        </w:numPr>
        <w:spacing w:after="60"/>
      </w:pPr>
      <w:r>
        <w:rPr>
          <w:i/>
          <w:iCs/>
        </w:rPr>
        <w:t xml:space="preserve">Proceso: </w:t>
      </w:r>
      <w:r>
        <w:t xml:space="preserve">posiciona y escala el marco según los landmarks; permite ajuste manual (rotación, altura).</w:t>
      </w:r>
    </w:p>
    <w:p>
      <w:pPr>
        <w:pStyle w:val="ListParagraph"/>
        <w:numPr>
          <w:ilvl w:val="0"/>
          <w:numId w:val="4"/>
        </w:numPr>
        <w:spacing w:after="60"/>
      </w:pPr>
      <w:r>
        <w:rPr>
          <w:i/>
          <w:iCs/>
        </w:rPr>
        <w:t xml:space="preserve">Salidas: </w:t>
      </w:r>
      <w:r>
        <w:t xml:space="preserve">previsualización renderizada en Canvas.</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RF-19 — Selección de distintos marcos</w:t>
      </w:r>
    </w:p>
    <w:p>
      <w:pPr>
        <w:pStyle w:val="ListParagraph"/>
        <w:numPr>
          <w:ilvl w:val="0"/>
          <w:numId w:val="4"/>
        </w:numPr>
        <w:spacing w:after="60"/>
      </w:pPr>
      <w:r>
        <w:rPr>
          <w:i/>
          <w:iCs/>
        </w:rPr>
        <w:t xml:space="preserve">Descripción: </w:t>
      </w:r>
      <w:r>
        <w:t xml:space="preserve">permite seleccionar distintos marcos disponibles para previsualizar cómo lucen.</w:t>
      </w:r>
    </w:p>
    <w:p>
      <w:pPr>
        <w:pStyle w:val="ListParagraph"/>
        <w:numPr>
          <w:ilvl w:val="0"/>
          <w:numId w:val="4"/>
        </w:numPr>
        <w:spacing w:after="60"/>
      </w:pPr>
      <w:r>
        <w:rPr>
          <w:i/>
          <w:iCs/>
        </w:rPr>
        <w:t xml:space="preserve">Entradas: </w:t>
      </w:r>
      <w:r>
        <w:t xml:space="preserve">selección del usuario sobre el catálogo/inventario de marcos.</w:t>
      </w:r>
    </w:p>
    <w:p>
      <w:pPr>
        <w:pStyle w:val="ListParagraph"/>
        <w:numPr>
          <w:ilvl w:val="0"/>
          <w:numId w:val="4"/>
        </w:numPr>
        <w:spacing w:after="60"/>
      </w:pPr>
      <w:r>
        <w:rPr>
          <w:i/>
          <w:iCs/>
        </w:rPr>
        <w:t xml:space="preserve">Proceso: </w:t>
      </w:r>
      <w:r>
        <w:t xml:space="preserve">recalcula la superposición (RF-18) para el marco elegido.</w:t>
      </w:r>
    </w:p>
    <w:p>
      <w:pPr>
        <w:pStyle w:val="ListParagraph"/>
        <w:numPr>
          <w:ilvl w:val="0"/>
          <w:numId w:val="4"/>
        </w:numPr>
        <w:spacing w:after="60"/>
      </w:pPr>
      <w:r>
        <w:rPr>
          <w:i/>
          <w:iCs/>
        </w:rPr>
        <w:t xml:space="preserve">Salidas: </w:t>
      </w:r>
      <w:r>
        <w:t xml:space="preserve">previsualización actualizada.</w:t>
      </w:r>
    </w:p>
    <w:p>
      <w:pPr>
        <w:pStyle w:val="ListParagraph"/>
        <w:numPr>
          <w:ilvl w:val="0"/>
          <w:numId w:val="4"/>
        </w:numPr>
        <w:spacing w:after="60"/>
      </w:pPr>
      <w:r>
        <w:rPr>
          <w:i/>
          <w:iCs/>
        </w:rPr>
        <w:t xml:space="preserve">Prioridad: </w:t>
      </w:r>
      <w:r>
        <w:rPr>
          <w:b/>
          <w:bCs/>
        </w:rPr>
        <w:t xml:space="preserve">Baja</w:t>
      </w:r>
    </w:p>
    <w:p>
      <w:pPr>
        <w:pStyle w:val="Heading3"/>
        <w:spacing w:after="120" w:before="240"/>
      </w:pPr>
      <w:r>
        <w:t xml:space="preserve">Módulo 5 — Turnos y Notificaciones</w:t>
      </w:r>
    </w:p>
    <w:p>
      <w:pPr>
        <w:spacing w:after="80" w:before="180"/>
      </w:pPr>
      <w:r>
        <w:rPr>
          <w:b/>
          <w:bCs/>
        </w:rPr>
        <w:t xml:space="preserve">RF-20 — Registrar turnos</w:t>
      </w:r>
    </w:p>
    <w:p>
      <w:pPr>
        <w:pStyle w:val="ListParagraph"/>
        <w:numPr>
          <w:ilvl w:val="0"/>
          <w:numId w:val="4"/>
        </w:numPr>
        <w:spacing w:after="60"/>
      </w:pPr>
      <w:r>
        <w:rPr>
          <w:i/>
          <w:iCs/>
        </w:rPr>
        <w:t xml:space="preserve">Descripción: </w:t>
      </w:r>
      <w:r>
        <w:t xml:space="preserve">permite registrar turnos de atención para los beneficiarios.</w:t>
      </w:r>
    </w:p>
    <w:p>
      <w:pPr>
        <w:pStyle w:val="ListParagraph"/>
        <w:numPr>
          <w:ilvl w:val="0"/>
          <w:numId w:val="4"/>
        </w:numPr>
        <w:spacing w:after="60"/>
      </w:pPr>
      <w:r>
        <w:rPr>
          <w:i/>
          <w:iCs/>
        </w:rPr>
        <w:t xml:space="preserve">Entradas: </w:t>
      </w:r>
      <w:r>
        <w:t xml:space="preserve">solicitante, fecha/hora deseada.</w:t>
      </w:r>
    </w:p>
    <w:p>
      <w:pPr>
        <w:pStyle w:val="ListParagraph"/>
        <w:numPr>
          <w:ilvl w:val="0"/>
          <w:numId w:val="4"/>
        </w:numPr>
        <w:spacing w:after="60"/>
      </w:pPr>
      <w:r>
        <w:rPr>
          <w:i/>
          <w:iCs/>
        </w:rPr>
        <w:t xml:space="preserve">Proceso: </w:t>
      </w:r>
      <w:r>
        <w:t xml:space="preserve">valida disponibilidad; en el flujo de autogestión, el turno nace en estado PENDING_PAYMENT hasta que se cargue el comprobante del bono contribución.</w:t>
      </w:r>
    </w:p>
    <w:p>
      <w:pPr>
        <w:pStyle w:val="ListParagraph"/>
        <w:numPr>
          <w:ilvl w:val="0"/>
          <w:numId w:val="4"/>
        </w:numPr>
        <w:spacing w:after="60"/>
      </w:pPr>
      <w:r>
        <w:rPr>
          <w:i/>
          <w:iCs/>
        </w:rPr>
        <w:t xml:space="preserve">Salidas: </w:t>
      </w:r>
      <w:r>
        <w:t xml:space="preserve">turno creado.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RF-21 — Gestionar turnos (reprogramación y cancelación)</w:t>
      </w:r>
    </w:p>
    <w:p>
      <w:pPr>
        <w:pStyle w:val="ListParagraph"/>
        <w:numPr>
          <w:ilvl w:val="0"/>
          <w:numId w:val="4"/>
        </w:numPr>
        <w:spacing w:after="60"/>
      </w:pPr>
      <w:r>
        <w:rPr>
          <w:i/>
          <w:iCs/>
        </w:rPr>
        <w:t xml:space="preserve">Descripción: </w:t>
      </w:r>
      <w:r>
        <w:t xml:space="preserve">permite reprogramar y cancelar turnos.</w:t>
      </w:r>
    </w:p>
    <w:p>
      <w:pPr>
        <w:pStyle w:val="ListParagraph"/>
        <w:numPr>
          <w:ilvl w:val="0"/>
          <w:numId w:val="4"/>
        </w:numPr>
        <w:spacing w:after="60"/>
      </w:pPr>
      <w:r>
        <w:rPr>
          <w:i/>
          <w:iCs/>
        </w:rPr>
        <w:t xml:space="preserve">Entradas: </w:t>
      </w:r>
      <w:r>
        <w:t xml:space="preserve">turno existente, nueva fecha/hora o motivo de cancelación.</w:t>
      </w:r>
    </w:p>
    <w:p>
      <w:pPr>
        <w:pStyle w:val="ListParagraph"/>
        <w:numPr>
          <w:ilvl w:val="0"/>
          <w:numId w:val="4"/>
        </w:numPr>
        <w:spacing w:after="60"/>
      </w:pPr>
      <w:r>
        <w:rPr>
          <w:i/>
          <w:iCs/>
        </w:rPr>
        <w:t xml:space="preserve">Proceso: </w:t>
      </w:r>
      <w:r>
        <w:t xml:space="preserve">valida pertenencia del turno (el beneficiario solo puede gestionar los propios); cambia fecha o estado a CANCELLED.</w:t>
      </w:r>
    </w:p>
    <w:p>
      <w:pPr>
        <w:pStyle w:val="ListParagraph"/>
        <w:numPr>
          <w:ilvl w:val="0"/>
          <w:numId w:val="4"/>
        </w:numPr>
        <w:spacing w:after="60"/>
      </w:pPr>
      <w:r>
        <w:rPr>
          <w:i/>
          <w:iCs/>
        </w:rPr>
        <w:t xml:space="preserve">Salidas: </w:t>
      </w:r>
      <w:r>
        <w:t xml:space="preserve">turno actualizado.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RF-22 — Notificaciones automáticas de turnos</w:t>
      </w:r>
    </w:p>
    <w:p>
      <w:pPr>
        <w:pStyle w:val="ListParagraph"/>
        <w:numPr>
          <w:ilvl w:val="0"/>
          <w:numId w:val="4"/>
        </w:numPr>
        <w:spacing w:after="60"/>
      </w:pPr>
      <w:r>
        <w:rPr>
          <w:i/>
          <w:iCs/>
        </w:rPr>
        <w:t xml:space="preserve">Descripción: </w:t>
      </w:r>
      <w:r>
        <w:t xml:space="preserve">envía notificaciones automáticas asociadas a los turnos.</w:t>
      </w:r>
    </w:p>
    <w:p>
      <w:pPr>
        <w:pStyle w:val="ListParagraph"/>
        <w:numPr>
          <w:ilvl w:val="0"/>
          <w:numId w:val="4"/>
        </w:numPr>
        <w:spacing w:after="60"/>
      </w:pPr>
      <w:r>
        <w:rPr>
          <w:i/>
          <w:iCs/>
        </w:rPr>
        <w:t xml:space="preserve">Entradas: </w:t>
      </w:r>
      <w:r>
        <w:t xml:space="preserve">evento de turno (confirmación al pasar a SCHEDULED, recordatorio, cancelación).</w:t>
      </w:r>
    </w:p>
    <w:p>
      <w:pPr>
        <w:pStyle w:val="ListParagraph"/>
        <w:numPr>
          <w:ilvl w:val="0"/>
          <w:numId w:val="4"/>
        </w:numPr>
        <w:spacing w:after="60"/>
      </w:pPr>
      <w:r>
        <w:rPr>
          <w:i/>
          <w:iCs/>
        </w:rPr>
        <w:t xml:space="preserve">Proceso: </w:t>
      </w:r>
      <w:r>
        <w:t xml:space="preserve">dispara la notificación correspondiente; un fallo en el envío no debe interrumpir el flujo principal.</w:t>
      </w:r>
    </w:p>
    <w:p>
      <w:pPr>
        <w:pStyle w:val="ListParagraph"/>
        <w:numPr>
          <w:ilvl w:val="0"/>
          <w:numId w:val="4"/>
        </w:numPr>
        <w:spacing w:after="60"/>
      </w:pPr>
      <w:r>
        <w:rPr>
          <w:i/>
          <w:iCs/>
        </w:rPr>
        <w:t xml:space="preserve">Salidas: </w:t>
      </w:r>
      <w:r>
        <w:t xml:space="preserve">notificación entregada al beneficiario (canal a definir: email/SMS).</w:t>
      </w:r>
    </w:p>
    <w:p>
      <w:pPr>
        <w:pStyle w:val="ListParagraph"/>
        <w:numPr>
          <w:ilvl w:val="0"/>
          <w:numId w:val="4"/>
        </w:numPr>
        <w:spacing w:after="60"/>
      </w:pPr>
      <w:r>
        <w:rPr>
          <w:i/>
          <w:iCs/>
        </w:rPr>
        <w:t xml:space="preserve">Prioridad: </w:t>
      </w:r>
      <w:r>
        <w:rPr>
          <w:b/>
          <w:bCs/>
        </w:rPr>
        <w:t xml:space="preserve">Media</w:t>
      </w:r>
    </w:p>
    <w:p>
      <w:pPr>
        <w:pStyle w:val="Heading3"/>
        <w:spacing w:after="120" w:before="240"/>
      </w:pPr>
      <w:r>
        <w:t xml:space="preserve">Módulo 6 — Logística e Integración 17TRACK</w:t>
      </w:r>
    </w:p>
    <w:p>
      <w:pPr>
        <w:spacing w:after="80" w:before="180"/>
      </w:pPr>
      <w:r>
        <w:rPr>
          <w:b/>
          <w:bCs/>
        </w:rPr>
        <w:t xml:space="preserve">RF-23 — Registrar envío en 17TRACK</w:t>
      </w:r>
    </w:p>
    <w:p>
      <w:pPr>
        <w:pStyle w:val="ListParagraph"/>
        <w:numPr>
          <w:ilvl w:val="0"/>
          <w:numId w:val="4"/>
        </w:numPr>
        <w:spacing w:after="60"/>
      </w:pPr>
      <w:r>
        <w:rPr>
          <w:i/>
          <w:iCs/>
        </w:rPr>
        <w:t xml:space="preserve">Descripción: </w:t>
      </w:r>
      <w:r>
        <w:t xml:space="preserve">registra los envíos en 17TRACK (/register) para seguimiento de Vía Cargo.</w:t>
      </w:r>
    </w:p>
    <w:p>
      <w:pPr>
        <w:pStyle w:val="ListParagraph"/>
        <w:numPr>
          <w:ilvl w:val="0"/>
          <w:numId w:val="4"/>
        </w:numPr>
        <w:spacing w:after="60"/>
      </w:pPr>
      <w:r>
        <w:rPr>
          <w:i/>
          <w:iCs/>
        </w:rPr>
        <w:t xml:space="preserve">Entradas: </w:t>
      </w:r>
      <w:r>
        <w:t xml:space="preserve">datos del envío (origen, destino, número de seguimiento de Vía Cargo).</w:t>
      </w:r>
    </w:p>
    <w:p>
      <w:pPr>
        <w:pStyle w:val="ListParagraph"/>
        <w:numPr>
          <w:ilvl w:val="0"/>
          <w:numId w:val="4"/>
        </w:numPr>
        <w:spacing w:after="60"/>
      </w:pPr>
      <w:r>
        <w:rPr>
          <w:i/>
          <w:iCs/>
        </w:rPr>
        <w:t xml:space="preserve">Proceso: </w:t>
      </w:r>
      <w:r>
        <w:t xml:space="preserve">llama al endpoint /register de 17TRACK vía TrackingClient; crea el Shipment en estado despachado.</w:t>
      </w:r>
    </w:p>
    <w:p>
      <w:pPr>
        <w:pStyle w:val="ListParagraph"/>
        <w:numPr>
          <w:ilvl w:val="0"/>
          <w:numId w:val="4"/>
        </w:numPr>
        <w:spacing w:after="60"/>
      </w:pPr>
      <w:r>
        <w:rPr>
          <w:i/>
          <w:iCs/>
        </w:rPr>
        <w:t xml:space="preserve">Salidas: </w:t>
      </w:r>
      <w:r>
        <w:t xml:space="preserve">envío registrado y en seguimiento.</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RF-24 — Actualizaciones automáticas por webhook</w:t>
      </w:r>
    </w:p>
    <w:p>
      <w:pPr>
        <w:pStyle w:val="ListParagraph"/>
        <w:numPr>
          <w:ilvl w:val="0"/>
          <w:numId w:val="4"/>
        </w:numPr>
        <w:spacing w:after="60"/>
      </w:pPr>
      <w:r>
        <w:rPr>
          <w:i/>
          <w:iCs/>
        </w:rPr>
        <w:t xml:space="preserve">Descripción: </w:t>
      </w:r>
      <w:r>
        <w:t xml:space="preserve">recibe actualizaciones automáticas del estado de los envíos mediante webhook push de 17TRACK.</w:t>
      </w:r>
    </w:p>
    <w:p>
      <w:pPr>
        <w:pStyle w:val="ListParagraph"/>
        <w:numPr>
          <w:ilvl w:val="0"/>
          <w:numId w:val="4"/>
        </w:numPr>
        <w:spacing w:after="60"/>
      </w:pPr>
      <w:r>
        <w:rPr>
          <w:i/>
          <w:iCs/>
        </w:rPr>
        <w:t xml:space="preserve">Entradas: </w:t>
      </w:r>
      <w:r>
        <w:t xml:space="preserve">payload del webhook (POST /v1/shipments/webhook).</w:t>
      </w:r>
    </w:p>
    <w:p>
      <w:pPr>
        <w:pStyle w:val="ListParagraph"/>
        <w:numPr>
          <w:ilvl w:val="0"/>
          <w:numId w:val="4"/>
        </w:numPr>
        <w:spacing w:after="60"/>
      </w:pPr>
      <w:r>
        <w:rPr>
          <w:i/>
          <w:iCs/>
        </w:rPr>
        <w:t xml:space="preserve">Proceso: </w:t>
      </w:r>
      <w:r>
        <w:t xml:space="preserve">valida el payload, actualiza el estado del Shipment y registra un ShipmentEvent.</w:t>
      </w:r>
    </w:p>
    <w:p>
      <w:pPr>
        <w:pStyle w:val="ListParagraph"/>
        <w:numPr>
          <w:ilvl w:val="0"/>
          <w:numId w:val="4"/>
        </w:numPr>
        <w:spacing w:after="60"/>
      </w:pPr>
      <w:r>
        <w:rPr>
          <w:i/>
          <w:iCs/>
        </w:rPr>
        <w:t xml:space="preserve">Salidas: </w:t>
      </w:r>
      <w:r>
        <w:t xml:space="preserve">estado del envío actualizado, evento trazado.</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RF-25 — Consultar estado y trazabilidad de envíos</w:t>
      </w:r>
    </w:p>
    <w:p>
      <w:pPr>
        <w:pStyle w:val="ListParagraph"/>
        <w:numPr>
          <w:ilvl w:val="0"/>
          <w:numId w:val="4"/>
        </w:numPr>
        <w:spacing w:after="60"/>
      </w:pPr>
      <w:r>
        <w:rPr>
          <w:i/>
          <w:iCs/>
        </w:rPr>
        <w:t xml:space="preserve">Descripción: </w:t>
      </w:r>
      <w:r>
        <w:t xml:space="preserve">permite consultar el estado y la trazabilidad de los envíos entre sucursales.</w:t>
      </w:r>
    </w:p>
    <w:p>
      <w:pPr>
        <w:pStyle w:val="ListParagraph"/>
        <w:numPr>
          <w:ilvl w:val="0"/>
          <w:numId w:val="4"/>
        </w:numPr>
        <w:spacing w:after="60"/>
      </w:pPr>
      <w:r>
        <w:rPr>
          <w:i/>
          <w:iCs/>
        </w:rPr>
        <w:t xml:space="preserve">Entradas: </w:t>
      </w:r>
      <w:r>
        <w:t xml:space="preserve">ID de envío o filtros.</w:t>
      </w:r>
    </w:p>
    <w:p>
      <w:pPr>
        <w:pStyle w:val="ListParagraph"/>
        <w:numPr>
          <w:ilvl w:val="0"/>
          <w:numId w:val="4"/>
        </w:numPr>
        <w:spacing w:after="60"/>
      </w:pPr>
      <w:r>
        <w:rPr>
          <w:i/>
          <w:iCs/>
        </w:rPr>
        <w:t xml:space="preserve">Proceso: </w:t>
      </w:r>
      <w:r>
        <w:t xml:space="preserve">consulta el envío y su historial de eventos.</w:t>
      </w:r>
    </w:p>
    <w:p>
      <w:pPr>
        <w:pStyle w:val="ListParagraph"/>
        <w:numPr>
          <w:ilvl w:val="0"/>
          <w:numId w:val="4"/>
        </w:numPr>
        <w:spacing w:after="60"/>
      </w:pPr>
      <w:r>
        <w:rPr>
          <w:i/>
          <w:iCs/>
        </w:rPr>
        <w:t xml:space="preserve">Salidas: </w:t>
      </w:r>
      <w:r>
        <w:t xml:space="preserve">estado actual + historial.</w:t>
      </w:r>
    </w:p>
    <w:p>
      <w:pPr>
        <w:pStyle w:val="ListParagraph"/>
        <w:numPr>
          <w:ilvl w:val="0"/>
          <w:numId w:val="4"/>
        </w:numPr>
        <w:spacing w:after="60"/>
      </w:pPr>
      <w:r>
        <w:rPr>
          <w:i/>
          <w:iCs/>
        </w:rPr>
        <w:t xml:space="preserve">Prioridad: </w:t>
      </w:r>
      <w:r>
        <w:rPr>
          <w:b/>
          <w:bCs/>
        </w:rPr>
        <w:t xml:space="preserve">Media</w:t>
      </w:r>
    </w:p>
    <w:p>
      <w:pPr>
        <w:pStyle w:val="Heading3"/>
        <w:spacing w:after="120" w:before="240"/>
      </w:pPr>
      <w:r>
        <w:t xml:space="preserve">Módulo 7 — Panel de Impacto</w:t>
      </w:r>
    </w:p>
    <w:p>
      <w:pPr>
        <w:spacing w:after="80" w:before="180"/>
      </w:pPr>
      <w:r>
        <w:rPr>
          <w:b/>
          <w:bCs/>
        </w:rPr>
        <w:t xml:space="preserve">RF-26 — Panel de indicadores de impacto social</w:t>
      </w:r>
    </w:p>
    <w:p>
      <w:pPr>
        <w:pStyle w:val="ListParagraph"/>
        <w:numPr>
          <w:ilvl w:val="0"/>
          <w:numId w:val="4"/>
        </w:numPr>
        <w:spacing w:after="60"/>
      </w:pPr>
      <w:r>
        <w:rPr>
          <w:i/>
          <w:iCs/>
        </w:rPr>
        <w:t xml:space="preserve">Descripción: </w:t>
      </w:r>
      <w:r>
        <w:t xml:space="preserve">presenta indicadores como entregas realizadas y beneficiarios atendidos.</w:t>
      </w:r>
    </w:p>
    <w:p>
      <w:pPr>
        <w:pStyle w:val="ListParagraph"/>
        <w:numPr>
          <w:ilvl w:val="0"/>
          <w:numId w:val="4"/>
        </w:numPr>
        <w:spacing w:after="60"/>
      </w:pPr>
      <w:r>
        <w:rPr>
          <w:i/>
          <w:iCs/>
        </w:rPr>
        <w:t xml:space="preserve">Entradas: </w:t>
      </w:r>
      <w:r>
        <w:t xml:space="preserve">ninguna (agregación de datos existentes).</w:t>
      </w:r>
    </w:p>
    <w:p>
      <w:pPr>
        <w:pStyle w:val="ListParagraph"/>
        <w:numPr>
          <w:ilvl w:val="0"/>
          <w:numId w:val="4"/>
        </w:numPr>
        <w:spacing w:after="60"/>
      </w:pPr>
      <w:r>
        <w:rPr>
          <w:i/>
          <w:iCs/>
        </w:rPr>
        <w:t xml:space="preserve">Proceso: </w:t>
      </w:r>
      <w:r>
        <w:t xml:space="preserve">calcula agregados (conteos, sumas) sobre asignaciones, entregas y turnos.</w:t>
      </w:r>
    </w:p>
    <w:p>
      <w:pPr>
        <w:pStyle w:val="ListParagraph"/>
        <w:numPr>
          <w:ilvl w:val="0"/>
          <w:numId w:val="4"/>
        </w:numPr>
        <w:spacing w:after="60"/>
      </w:pPr>
      <w:r>
        <w:rPr>
          <w:i/>
          <w:iCs/>
        </w:rPr>
        <w:t xml:space="preserve">Salidas: </w:t>
      </w:r>
      <w:r>
        <w:t xml:space="preserve">panel con indicadores clave.</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RF-27 — Métricas agregadas por período</w:t>
      </w:r>
    </w:p>
    <w:p>
      <w:pPr>
        <w:pStyle w:val="ListParagraph"/>
        <w:numPr>
          <w:ilvl w:val="0"/>
          <w:numId w:val="4"/>
        </w:numPr>
        <w:spacing w:after="60"/>
      </w:pPr>
      <w:r>
        <w:rPr>
          <w:i/>
          <w:iCs/>
        </w:rPr>
        <w:t xml:space="preserve">Descripción: </w:t>
      </w:r>
      <w:r>
        <w:t xml:space="preserve">permite visualizar métricas agregadas filtradas por período.</w:t>
      </w:r>
    </w:p>
    <w:p>
      <w:pPr>
        <w:pStyle w:val="ListParagraph"/>
        <w:numPr>
          <w:ilvl w:val="0"/>
          <w:numId w:val="4"/>
        </w:numPr>
        <w:spacing w:after="60"/>
      </w:pPr>
      <w:r>
        <w:rPr>
          <w:i/>
          <w:iCs/>
        </w:rPr>
        <w:t xml:space="preserve">Entradas: </w:t>
      </w:r>
      <w:r>
        <w:t xml:space="preserve">rango de fechas.</w:t>
      </w:r>
    </w:p>
    <w:p>
      <w:pPr>
        <w:pStyle w:val="ListParagraph"/>
        <w:numPr>
          <w:ilvl w:val="0"/>
          <w:numId w:val="4"/>
        </w:numPr>
        <w:spacing w:after="60"/>
      </w:pPr>
      <w:r>
        <w:rPr>
          <w:i/>
          <w:iCs/>
        </w:rPr>
        <w:t xml:space="preserve">Proceso: </w:t>
      </w:r>
      <w:r>
        <w:t xml:space="preserve">recalcula los indicadores de RF-26 acotados al período.</w:t>
      </w:r>
    </w:p>
    <w:p>
      <w:pPr>
        <w:pStyle w:val="ListParagraph"/>
        <w:numPr>
          <w:ilvl w:val="0"/>
          <w:numId w:val="4"/>
        </w:numPr>
        <w:spacing w:after="60"/>
      </w:pPr>
      <w:r>
        <w:rPr>
          <w:i/>
          <w:iCs/>
        </w:rPr>
        <w:t xml:space="preserve">Salidas: </w:t>
      </w:r>
      <w:r>
        <w:t xml:space="preserve">métricas del período solicitado.</w:t>
      </w:r>
    </w:p>
    <w:p>
      <w:pPr>
        <w:pStyle w:val="ListParagraph"/>
        <w:numPr>
          <w:ilvl w:val="0"/>
          <w:numId w:val="4"/>
        </w:numPr>
        <w:spacing w:after="60"/>
      </w:pPr>
      <w:r>
        <w:rPr>
          <w:i/>
          <w:iCs/>
        </w:rPr>
        <w:t xml:space="preserve">Prioridad: </w:t>
      </w:r>
      <w:r>
        <w:rPr>
          <w:b/>
          <w:bCs/>
        </w:rPr>
        <w:t xml:space="preserve">Baja</w:t>
      </w:r>
    </w:p>
    <w:p>
      <w:pPr>
        <w:pStyle w:val="Heading3"/>
        <w:spacing w:after="120" w:before="240"/>
      </w:pPr>
      <w:r>
        <w:t xml:space="preserve">Módulo 8 — Catálogo de Venta</w:t>
      </w:r>
    </w:p>
    <w:p>
      <w:pPr>
        <w:spacing w:after="80" w:before="180"/>
      </w:pPr>
      <w:r>
        <w:rPr>
          <w:b/>
          <w:bCs/>
        </w:rPr>
        <w:t xml:space="preserve">RF-28 — Catálogo digital de anteojos de sol</w:t>
      </w:r>
    </w:p>
    <w:p>
      <w:pPr>
        <w:pStyle w:val="ListParagraph"/>
        <w:numPr>
          <w:ilvl w:val="0"/>
          <w:numId w:val="4"/>
        </w:numPr>
        <w:spacing w:after="60"/>
      </w:pPr>
      <w:r>
        <w:rPr>
          <w:i/>
          <w:iCs/>
        </w:rPr>
        <w:t xml:space="preserve">Descripción: </w:t>
      </w:r>
      <w:r>
        <w:t xml:space="preserve">muestra un catálogo de anteojos de sol disponibles con su precio.</w:t>
      </w:r>
    </w:p>
    <w:p>
      <w:pPr>
        <w:pStyle w:val="ListParagraph"/>
        <w:numPr>
          <w:ilvl w:val="0"/>
          <w:numId w:val="4"/>
        </w:numPr>
        <w:spacing w:after="60"/>
      </w:pPr>
      <w:r>
        <w:rPr>
          <w:i/>
          <w:iCs/>
        </w:rPr>
        <w:t xml:space="preserve">Entradas: </w:t>
      </w:r>
      <w:r>
        <w:t xml:space="preserve">ninguna (consulta pública).</w:t>
      </w:r>
    </w:p>
    <w:p>
      <w:pPr>
        <w:pStyle w:val="ListParagraph"/>
        <w:numPr>
          <w:ilvl w:val="0"/>
          <w:numId w:val="4"/>
        </w:numPr>
        <w:spacing w:after="60"/>
      </w:pPr>
      <w:r>
        <w:rPr>
          <w:i/>
          <w:iCs/>
        </w:rPr>
        <w:t xml:space="preserve">Proceso: </w:t>
      </w:r>
      <w:r>
        <w:t xml:space="preserve">lista productos en estado activo, con imagen y precio.</w:t>
      </w:r>
    </w:p>
    <w:p>
      <w:pPr>
        <w:pStyle w:val="ListParagraph"/>
        <w:numPr>
          <w:ilvl w:val="0"/>
          <w:numId w:val="4"/>
        </w:numPr>
        <w:spacing w:after="60"/>
      </w:pPr>
      <w:r>
        <w:rPr>
          <w:i/>
          <w:iCs/>
        </w:rPr>
        <w:t xml:space="preserve">Salidas: </w:t>
      </w:r>
      <w:r>
        <w:t xml:space="preserve">catálogo visible.</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RF-29 — Registrar venta con descuento de stock</w:t>
      </w:r>
    </w:p>
    <w:p>
      <w:pPr>
        <w:pStyle w:val="ListParagraph"/>
        <w:numPr>
          <w:ilvl w:val="0"/>
          <w:numId w:val="4"/>
        </w:numPr>
        <w:spacing w:after="60"/>
      </w:pPr>
      <w:r>
        <w:rPr>
          <w:i/>
          <w:iCs/>
        </w:rPr>
        <w:t xml:space="preserve">Descripción: </w:t>
      </w:r>
      <w:r>
        <w:t xml:space="preserve">permite registrar una venta con descuento automático del stock disponible.</w:t>
      </w:r>
    </w:p>
    <w:p>
      <w:pPr>
        <w:pStyle w:val="ListParagraph"/>
        <w:numPr>
          <w:ilvl w:val="0"/>
          <w:numId w:val="4"/>
        </w:numPr>
        <w:spacing w:after="60"/>
      </w:pPr>
      <w:r>
        <w:rPr>
          <w:i/>
          <w:iCs/>
        </w:rPr>
        <w:t xml:space="preserve">Entradas: </w:t>
      </w:r>
      <w:r>
        <w:t xml:space="preserve">producto, cantidad.</w:t>
      </w:r>
    </w:p>
    <w:p>
      <w:pPr>
        <w:pStyle w:val="ListParagraph"/>
        <w:numPr>
          <w:ilvl w:val="0"/>
          <w:numId w:val="4"/>
        </w:numPr>
        <w:spacing w:after="60"/>
      </w:pPr>
      <w:r>
        <w:rPr>
          <w:i/>
          <w:iCs/>
        </w:rPr>
        <w:t xml:space="preserve">Proceso: </w:t>
      </w:r>
      <w:r>
        <w:t xml:space="preserve">valida stock suficiente; crea la Sale y descuenta unidades del Product.</w:t>
      </w:r>
    </w:p>
    <w:p>
      <w:pPr>
        <w:pStyle w:val="ListParagraph"/>
        <w:numPr>
          <w:ilvl w:val="0"/>
          <w:numId w:val="4"/>
        </w:numPr>
        <w:spacing w:after="60"/>
      </w:pPr>
      <w:r>
        <w:rPr>
          <w:i/>
          <w:iCs/>
        </w:rPr>
        <w:t xml:space="preserve">Salidas: </w:t>
      </w:r>
      <w:r>
        <w:t xml:space="preserve">venta registrada, stock actualizado.</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RF-30 — Gestionar stock del catálogo</w:t>
      </w:r>
    </w:p>
    <w:p>
      <w:pPr>
        <w:pStyle w:val="ListParagraph"/>
        <w:numPr>
          <w:ilvl w:val="0"/>
          <w:numId w:val="4"/>
        </w:numPr>
        <w:spacing w:after="60"/>
      </w:pPr>
      <w:r>
        <w:rPr>
          <w:i/>
          <w:iCs/>
        </w:rPr>
        <w:t xml:space="preserve">Descripción: </w:t>
      </w:r>
      <w:r>
        <w:t xml:space="preserve">permite cargar, actualizar y dar de baja productos del catálogo.</w:t>
      </w:r>
    </w:p>
    <w:p>
      <w:pPr>
        <w:pStyle w:val="ListParagraph"/>
        <w:numPr>
          <w:ilvl w:val="0"/>
          <w:numId w:val="4"/>
        </w:numPr>
        <w:spacing w:after="60"/>
      </w:pPr>
      <w:r>
        <w:rPr>
          <w:i/>
          <w:iCs/>
        </w:rPr>
        <w:t xml:space="preserve">Entradas: </w:t>
      </w:r>
      <w:r>
        <w:t xml:space="preserve">datos del producto (alta/edición) o baja lógica.</w:t>
      </w:r>
    </w:p>
    <w:p>
      <w:pPr>
        <w:pStyle w:val="ListParagraph"/>
        <w:numPr>
          <w:ilvl w:val="0"/>
          <w:numId w:val="4"/>
        </w:numPr>
        <w:spacing w:after="60"/>
      </w:pPr>
      <w:r>
        <w:rPr>
          <w:i/>
          <w:iCs/>
        </w:rPr>
        <w:t xml:space="preserve">Proceso: </w:t>
      </w:r>
      <w:r>
        <w:t xml:space="preserve">CRUD sobre Product, incluyendo discontinuación (baja lógica, no borrado físico).</w:t>
      </w:r>
    </w:p>
    <w:p>
      <w:pPr>
        <w:pStyle w:val="ListParagraph"/>
        <w:numPr>
          <w:ilvl w:val="0"/>
          <w:numId w:val="4"/>
        </w:numPr>
        <w:spacing w:after="60"/>
      </w:pPr>
      <w:r>
        <w:rPr>
          <w:i/>
          <w:iCs/>
        </w:rPr>
        <w:t xml:space="preserve">Salidas: </w:t>
      </w:r>
      <w:r>
        <w:t xml:space="preserve">catálogo actualizado.</w:t>
      </w:r>
    </w:p>
    <w:p>
      <w:pPr>
        <w:pStyle w:val="ListParagraph"/>
        <w:numPr>
          <w:ilvl w:val="0"/>
          <w:numId w:val="4"/>
        </w:numPr>
        <w:spacing w:after="60"/>
      </w:pPr>
      <w:r>
        <w:rPr>
          <w:i/>
          <w:iCs/>
        </w:rPr>
        <w:t xml:space="preserve">Prioridad: </w:t>
      </w:r>
      <w:r>
        <w:rPr>
          <w:b/>
          <w:bCs/>
        </w:rPr>
        <w:t xml:space="preserve">Media</w:t>
      </w:r>
    </w:p>
    <w:p>
      <w:pPr>
        <w:pStyle w:val="Heading2"/>
        <w:spacing w:after="150" w:before="300"/>
      </w:pPr>
      <w:r>
        <w:t xml:space="preserve">3.3 Requisitos no funcionales</w:t>
      </w:r>
    </w:p>
    <w:p>
      <w:pPr>
        <w:spacing w:after="80" w:before="180"/>
      </w:pPr>
      <w:r>
        <w:rPr>
          <w:b/>
          <w:bCs/>
        </w:rPr>
        <w:t xml:space="preserve">RNF-01 — Autenticación y autorización</w:t>
      </w:r>
    </w:p>
    <w:p>
      <w:pPr>
        <w:spacing w:after="120"/>
      </w:pPr>
      <w:r>
        <w:t xml:space="preserve">Autenticación mediante JWT stateless, con roles diferenciados ADMIN, OPERATOR y APPLICANT. Cada endpoint valida el rol requerido; el rol APPLICANT solo accede a sus propios recursos (/v1/me/**), nunca a los de otro beneficiario.</w:t>
      </w:r>
    </w:p>
    <w:p>
      <w:pPr>
        <w:spacing w:after="120"/>
      </w:pPr>
      <w:r>
        <w:rPr>
          <w:i/>
          <w:iCs/>
        </w:rPr>
        <w:t xml:space="preserve">Criterio de verificación: </w:t>
      </w:r>
      <w:r>
        <w:t xml:space="preserve">un request sin token o con rol insuficiente responde 401/403.</w:t>
      </w:r>
    </w:p>
    <w:p>
      <w:pPr>
        <w:spacing w:after="80" w:before="180"/>
      </w:pPr>
      <w:r>
        <w:rPr>
          <w:b/>
          <w:bCs/>
        </w:rPr>
        <w:t xml:space="preserve">RNF-02 — Protección de datos personales</w:t>
      </w:r>
    </w:p>
    <w:p>
      <w:pPr>
        <w:spacing w:after="120"/>
      </w:pPr>
      <w:r>
        <w:t xml:space="preserve">Tratamiento de datos personales conforme a la Ley 25.326. Los datos sensibles (DNI, CUIL, datos de salud implícitos en la receta) se acceden solo por roles autorizados y no se exponen en logs ni mensajes de error.</w:t>
      </w:r>
    </w:p>
    <w:p>
      <w:pPr>
        <w:spacing w:after="80" w:before="180"/>
      </w:pPr>
      <w:r>
        <w:rPr>
          <w:b/>
          <w:bCs/>
        </w:rPr>
        <w:t xml:space="preserve">RNF-03 — Gestión de credenciales y secretos</w:t>
      </w:r>
    </w:p>
    <w:p>
      <w:pPr>
        <w:spacing w:after="120"/>
      </w:pPr>
      <w:r>
        <w:t xml:space="preserve">Contraseñas con hash BCrypt. Credenciales y secretos (JWT, R2, API key de 17TRACK) se cargan desde configuración externa (.env), nunca versionados en el repositorio.</w:t>
      </w:r>
    </w:p>
    <w:p>
      <w:pPr>
        <w:spacing w:after="80" w:before="180"/>
      </w:pPr>
      <w:r>
        <w:rPr>
          <w:b/>
          <w:bCs/>
        </w:rPr>
        <w:t xml:space="preserve">RNF-04 — Compatibilidad del probador virtual con gama baja</w:t>
      </w:r>
    </w:p>
    <w:p>
      <w:pPr>
        <w:spacing w:after="120"/>
      </w:pPr>
      <w:r>
        <w:t xml:space="preserve">Superposición 2D sobre foto estática, sin dependencia de un servidor de procesamiento externo; debe funcionar en dispositivos de gama baja.</w:t>
      </w:r>
    </w:p>
    <w:p>
      <w:pPr>
        <w:spacing w:after="80" w:before="180"/>
      </w:pPr>
      <w:r>
        <w:rPr>
          <w:b/>
          <w:bCs/>
        </w:rPr>
        <w:t xml:space="preserve">RNF-05 — Usabilidad para personal no técnico</w:t>
      </w:r>
    </w:p>
    <w:p>
      <w:pPr>
        <w:spacing w:after="120"/>
      </w:pPr>
      <w:r>
        <w:t xml:space="preserve">La interfaz debe ser operable por personal no técnico de la fundación tras una capacitación mínima (~30 minutos): labels claros en español, estados de carga/error visibles, validación en el borde.</w:t>
      </w:r>
    </w:p>
    <w:p>
      <w:pPr>
        <w:spacing w:after="80" w:before="180"/>
      </w:pPr>
      <w:r>
        <w:rPr>
          <w:b/>
          <w:bCs/>
        </w:rPr>
        <w:t xml:space="preserve">RNF-06 — Despliegue en producción</w:t>
      </w:r>
    </w:p>
    <w:p>
      <w:pPr>
        <w:spacing w:after="120"/>
      </w:pPr>
      <w:r>
        <w:t xml:space="preserve">El sistema se despliega en Render (backend + PostgreSQL), a partir del mismo repositorio (backend/ y frontend/ como Root Directory de cada servicio).</w:t>
      </w:r>
    </w:p>
    <w:p>
      <w:pPr>
        <w:spacing w:after="80" w:before="180"/>
      </w:pPr>
      <w:r>
        <w:rPr>
          <w:b/>
          <w:bCs/>
        </w:rPr>
        <w:t xml:space="preserve">RNF-07 — Almacenamiento de imágenes</w:t>
      </w:r>
    </w:p>
    <w:p>
      <w:pPr>
        <w:spacing w:after="120"/>
      </w:pPr>
      <w:r>
        <w:t xml:space="preserve">Las imágenes y PDFs se almacenan en Cloudflare R2; en PostgreSQL se persiste únicamente la URL, nunca el binario.</w:t>
      </w:r>
    </w:p>
    <w:p>
      <w:pPr>
        <w:spacing w:after="80" w:before="180"/>
      </w:pPr>
      <w:r>
        <w:rPr>
          <w:b/>
          <w:bCs/>
        </w:rPr>
        <w:t xml:space="preserve">RNF-08 — Tiempos de respuesta</w:t>
      </w:r>
    </w:p>
    <w:p>
      <w:pPr>
        <w:spacing w:after="120"/>
      </w:pPr>
      <w:r>
        <w:t xml:space="preserve">Las operaciones frecuentes (listados, alta de solicitante, asignación) se mantienen dentro de márgenes aceptables para uso interactivo (referencia orientativa: percibido como inmediato por un operador, sin definir un SLA numérico estricto dado el volumen esperado de la fundación).</w:t>
      </w:r>
    </w:p>
    <w:p>
      <w:pPr>
        <w:spacing w:after="80" w:before="180"/>
      </w:pPr>
      <w:r>
        <w:rPr>
          <w:b/>
          <w:bCs/>
        </w:rPr>
        <w:t xml:space="preserve">RNF-09 — Auditoría de operaciones sensibles</w:t>
      </w:r>
    </w:p>
    <w:p>
      <w:pPr>
        <w:spacing w:after="120"/>
      </w:pPr>
      <w:r>
        <w:t xml:space="preserve">Las operaciones sensibles (validaciones de identidad, asignaciones, entregas, bajas) quedan registradas para su trazabilidad, con fecha y responsable.</w:t>
      </w:r>
    </w:p>
    <w:p>
      <w:pPr>
        <w:spacing w:after="80" w:before="180"/>
      </w:pPr>
      <w:r>
        <w:rPr>
          <w:b/>
          <w:bCs/>
        </w:rPr>
        <w:t xml:space="preserve">RNF-10 — Arquitectura en capas del backend</w:t>
      </w:r>
    </w:p>
    <w:p>
      <w:pPr>
        <w:spacing w:after="120"/>
      </w:pPr>
      <w:r>
        <w:t xml:space="preserve">El backend sigue una arquitectura en capas con separación estricta de responsabilidades: presentation → orchestrator → business → persistence, más un paquete aislado para clientes de terceros. Documentado en backend/CLAUDE.md y en el Documento de Arquitectura (Vista de Desarrollo).</w:t>
      </w:r>
    </w:p>
    <w:p>
      <w:pPr>
        <w:spacing w:after="80" w:before="180"/>
      </w:pPr>
      <w:r>
        <w:rPr>
          <w:b/>
          <w:bCs/>
        </w:rPr>
        <w:t xml:space="preserve">RNF-11 — Compatibilidad de navegadores</w:t>
      </w:r>
    </w:p>
    <w:p>
      <w:pPr>
        <w:spacing w:after="120"/>
      </w:pPr>
      <w:r>
        <w:t xml:space="preserve">El frontend es compatible con navegadores web modernos (últimas versiones de Chrome, Firefox, Edge, Safari).</w:t>
      </w:r>
    </w:p>
    <w:p>
      <w:pPr>
        <w:pStyle w:val="Heading2"/>
        <w:spacing w:after="150" w:before="300"/>
      </w:pPr>
      <w:r>
        <w:t xml:space="preserve">3.4 Reglas de negocio transversales</w:t>
      </w:r>
    </w:p>
    <w:p>
      <w:pPr>
        <w:pStyle w:val="ListParagraph"/>
        <w:numPr>
          <w:ilvl w:val="0"/>
          <w:numId w:val="4"/>
        </w:numPr>
        <w:spacing w:after="60"/>
      </w:pPr>
      <w:r>
        <w:t xml:space="preserve">Validación de pertenencia primero: todo caso de uso que opera sobre un recurso de un beneficiario (turno, asignación, marco) valida primero que ese recurso pertenece a quien lo solicita, antes de ejecutar cualquier otra lógica. Un fallo de pertenencia responde 403.</w:t>
      </w:r>
    </w:p>
    <w:p>
      <w:pPr>
        <w:pStyle w:val="ListParagraph"/>
        <w:numPr>
          <w:ilvl w:val="0"/>
          <w:numId w:val="4"/>
        </w:numPr>
        <w:spacing w:after="60"/>
      </w:pPr>
      <w:r>
        <w:t xml:space="preserve">DNI inmutable: el DNI del solicitante no se edita una vez creado, por ser la identidad contra la que se validó RENAPER.</w:t>
      </w:r>
    </w:p>
    <w:p>
      <w:pPr>
        <w:pStyle w:val="ListParagraph"/>
        <w:numPr>
          <w:ilvl w:val="0"/>
          <w:numId w:val="4"/>
        </w:numPr>
        <w:spacing w:after="60"/>
      </w:pPr>
      <w:r>
        <w:t xml:space="preserve">CUIL derivado, no cargado: el CUIL del solicitante no lo ingresa el operador; queda registrado automáticamente cuando una Certificación Negativa de ANSES válida lo confirma (RF-04).</w:t>
      </w:r>
    </w:p>
    <w:p>
      <w:pPr>
        <w:pStyle w:val="ListParagraph"/>
        <w:numPr>
          <w:ilvl w:val="0"/>
          <w:numId w:val="4"/>
        </w:numPr>
        <w:spacing w:after="60"/>
      </w:pPr>
      <w:r>
        <w:t xml:space="preserve">Turno de autogestión condicionado al pago: un turno creado por autogestión nace PENDING_PAYMENT y solo pasa a SCHEDULED (disparando la notificación de RF-22) cuando se sube el comprobante del bono contribución; el monto no lo valida el sistema, lo revisa un operador después.</w:t>
      </w:r>
    </w:p>
    <w:p>
      <w:pPr>
        <w:pStyle w:val="ListParagraph"/>
        <w:numPr>
          <w:ilvl w:val="0"/>
          <w:numId w:val="4"/>
        </w:numPr>
        <w:spacing w:after="60"/>
      </w:pPr>
      <w:r>
        <w:t xml:space="preserve">Baja lógica, no borrado físico: marcos descartados y productos discontinuados cambian de estado (DISCARDED / DISCONTINUED), nunca se eliminan de la base de datos, para preservar la trazabilidad histórica.</w:t>
      </w:r>
    </w:p>
    <w:p>
      <w:pPr>
        <w:pStyle w:val="Heading1"/>
        <w:spacing w:after="200" w:before="400"/>
      </w:pPr>
      <w:r>
        <w:t xml:space="preserve">4. Apéndices</w:t>
      </w:r>
    </w:p>
    <w:p>
      <w:pPr>
        <w:pStyle w:val="Heading2"/>
        <w:spacing w:after="150" w:before="300"/>
      </w:pPr>
      <w:r>
        <w:t xml:space="preserve">Apéndice A — Glosario extendido</w:t>
      </w:r>
    </w:p>
    <w:p>
      <w:pPr>
        <w:spacing w:after="120"/>
      </w:pPr>
      <w:r>
        <w:t xml:space="preserve">Ver sección 1.3. Se amplía con vocabulario de estados:</w:t>
      </w:r>
    </w:p>
    <w:p>
      <w:pPr>
        <w:pStyle w:val="ListParagraph"/>
        <w:numPr>
          <w:ilvl w:val="0"/>
          <w:numId w:val="4"/>
        </w:numPr>
        <w:spacing w:after="60"/>
      </w:pPr>
      <w:r>
        <w:t xml:space="preserve">Estados de Frame: AVAILABLE, ASSIGNED, AT_OPTICIAN, READY, DELIVERED, DISCARDED.</w:t>
      </w:r>
    </w:p>
    <w:p>
      <w:pPr>
        <w:pStyle w:val="ListParagraph"/>
        <w:numPr>
          <w:ilvl w:val="0"/>
          <w:numId w:val="4"/>
        </w:numPr>
        <w:spacing w:after="60"/>
      </w:pPr>
      <w:r>
        <w:t xml:space="preserve">Estados de Appointment: PENDING_PAYMENT, SCHEDULED, COMPLETED, MISSED, CANCELLED.</w:t>
      </w:r>
    </w:p>
    <w:p>
      <w:pPr>
        <w:pStyle w:val="ListParagraph"/>
        <w:numPr>
          <w:ilvl w:val="0"/>
          <w:numId w:val="4"/>
        </w:numPr>
        <w:spacing w:after="60"/>
      </w:pPr>
      <w:r>
        <w:t xml:space="preserve">Estados de Product: activo / DISCONTINUED.</w:t>
      </w:r>
    </w:p>
    <w:p>
      <w:pPr>
        <w:pStyle w:val="Heading2"/>
        <w:spacing w:after="150" w:before="300"/>
      </w:pPr>
      <w:r>
        <w:t xml:space="preserve">Apéndice B — Matriz de trazabilidad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300"/>
        <w:gridCol w:w="3460"/>
      </w:tblGrid>
      <w:tr>
        <w:trPr>
          <w:tblHeader/>
        </w:trPr>
        <w:tc>
          <w:tcPr>
            <w:tcW w:type="dxa" w:w="2900"/>
            <w:shd w:fill="D9D9D9" w:color="auto" w:val="clear"/>
            <w:tcMar>
              <w:top w:type="dxa" w:w="60"/>
              <w:left w:type="dxa" w:w="100"/>
              <w:bottom w:type="dxa" w:w="60"/>
              <w:right w:type="dxa" w:w="100"/>
            </w:tcMar>
            <w:vAlign w:val="center"/>
          </w:tcPr>
          <w:p>
            <w:r>
              <w:rPr>
                <w:b/>
                <w:bCs/>
                <w:sz w:val="20"/>
                <w:szCs w:val="20"/>
              </w:rPr>
              <w:t xml:space="preserve">Módulo</w:t>
            </w:r>
          </w:p>
        </w:tc>
        <w:tc>
          <w:tcPr>
            <w:tcW w:type="dxa" w:w="1700"/>
            <w:shd w:fill="D9D9D9" w:color="auto" w:val="clear"/>
            <w:tcMar>
              <w:top w:type="dxa" w:w="60"/>
              <w:left w:type="dxa" w:w="100"/>
              <w:bottom w:type="dxa" w:w="60"/>
              <w:right w:type="dxa" w:w="100"/>
            </w:tcMar>
            <w:vAlign w:val="center"/>
          </w:tcPr>
          <w:p>
            <w:r>
              <w:rPr>
                <w:b/>
                <w:bCs/>
                <w:sz w:val="20"/>
                <w:szCs w:val="20"/>
              </w:rPr>
              <w:t xml:space="preserve">RF</w:t>
            </w:r>
          </w:p>
        </w:tc>
        <w:tc>
          <w:tcPr>
            <w:tcW w:type="dxa" w:w="1300"/>
            <w:shd w:fill="D9D9D9" w:color="auto" w:val="clear"/>
            <w:tcMar>
              <w:top w:type="dxa" w:w="60"/>
              <w:left w:type="dxa" w:w="100"/>
              <w:bottom w:type="dxa" w:w="60"/>
              <w:right w:type="dxa" w:w="100"/>
            </w:tcMar>
            <w:vAlign w:val="center"/>
          </w:tcPr>
          <w:p>
            <w:r>
              <w:rPr>
                <w:b/>
                <w:bCs/>
                <w:sz w:val="20"/>
                <w:szCs w:val="20"/>
              </w:rPr>
              <w:t xml:space="preserve">Prioridad</w:t>
            </w:r>
          </w:p>
        </w:tc>
        <w:tc>
          <w:tcPr>
            <w:tcW w:type="dxa" w:w="3460"/>
            <w:shd w:fill="D9D9D9" w:color="auto" w:val="clear"/>
            <w:tcMar>
              <w:top w:type="dxa" w:w="60"/>
              <w:left w:type="dxa" w:w="100"/>
              <w:bottom w:type="dxa" w:w="60"/>
              <w:right w:type="dxa" w:w="100"/>
            </w:tcMar>
            <w:vAlign w:val="center"/>
          </w:tcPr>
          <w:p>
            <w:r>
              <w:rPr>
                <w:b/>
                <w:bCs/>
                <w:sz w:val="20"/>
                <w:szCs w:val="20"/>
              </w:rPr>
              <w:t xml:space="preserve">Estado de implementación</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RF-01, RF-07, RF-08</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RF-03, RF-04, RF-05</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RF-02, RF-06</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Pendiente (cliente RENAPER no implementado; fallback manual a confirmar)</w:t>
            </w:r>
          </w:p>
        </w:tc>
      </w:tr>
      <w:tr>
        <w:tc>
          <w:tcPr>
            <w:tcW w:type="dxa" w:w="2900"/>
            <w:tcMar>
              <w:top w:type="dxa" w:w="60"/>
              <w:left w:type="dxa" w:w="100"/>
              <w:bottom w:type="dxa" w:w="60"/>
              <w:right w:type="dxa" w:w="100"/>
            </w:tcMar>
            <w:vAlign w:val="center"/>
          </w:tcPr>
          <w:p>
            <w:r>
              <w:rPr>
                <w:b w:val="false"/>
                <w:bCs w:val="false"/>
                <w:sz w:val="20"/>
                <w:szCs w:val="20"/>
              </w:rPr>
              <w:t xml:space="preserve">2. Donaciones</w:t>
            </w:r>
          </w:p>
        </w:tc>
        <w:tc>
          <w:tcPr>
            <w:tcW w:type="dxa" w:w="1700"/>
            <w:tcMar>
              <w:top w:type="dxa" w:w="60"/>
              <w:left w:type="dxa" w:w="100"/>
              <w:bottom w:type="dxa" w:w="60"/>
              <w:right w:type="dxa" w:w="100"/>
            </w:tcMar>
            <w:vAlign w:val="center"/>
          </w:tcPr>
          <w:p>
            <w:r>
              <w:rPr>
                <w:b w:val="false"/>
                <w:bCs w:val="false"/>
                <w:sz w:val="20"/>
                <w:szCs w:val="20"/>
              </w:rPr>
              <w:t xml:space="preserve">RF-09 a RF-12</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3. Inventario, Asignación y Trazabilidad</w:t>
            </w:r>
          </w:p>
        </w:tc>
        <w:tc>
          <w:tcPr>
            <w:tcW w:type="dxa" w:w="1700"/>
            <w:tcMar>
              <w:top w:type="dxa" w:w="60"/>
              <w:left w:type="dxa" w:w="100"/>
              <w:bottom w:type="dxa" w:w="60"/>
              <w:right w:type="dxa" w:w="100"/>
            </w:tcMar>
            <w:vAlign w:val="center"/>
          </w:tcPr>
          <w:p>
            <w:r>
              <w:rPr>
                <w:b w:val="false"/>
                <w:bCs w:val="false"/>
                <w:sz w:val="20"/>
                <w:szCs w:val="20"/>
              </w:rPr>
              <w:t xml:space="preserve">RF-13 a RF-16</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4. Probador Virtual</w:t>
            </w:r>
          </w:p>
        </w:tc>
        <w:tc>
          <w:tcPr>
            <w:tcW w:type="dxa" w:w="1700"/>
            <w:tcMar>
              <w:top w:type="dxa" w:w="60"/>
              <w:left w:type="dxa" w:w="100"/>
              <w:bottom w:type="dxa" w:w="60"/>
              <w:right w:type="dxa" w:w="100"/>
            </w:tcMar>
            <w:vAlign w:val="center"/>
          </w:tcPr>
          <w:p>
            <w:r>
              <w:rPr>
                <w:b w:val="false"/>
                <w:bCs w:val="false"/>
                <w:sz w:val="20"/>
                <w:szCs w:val="20"/>
              </w:rPr>
              <w:t xml:space="preserve">RF-17 a RF-19</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RF-20, RF-21</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RF-22</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 (a confirmar canal de notificación)</w:t>
            </w:r>
          </w:p>
        </w:tc>
      </w:tr>
      <w:tr>
        <w:tc>
          <w:tcPr>
            <w:tcW w:type="dxa" w:w="2900"/>
            <w:tcMar>
              <w:top w:type="dxa" w:w="60"/>
              <w:left w:type="dxa" w:w="100"/>
              <w:bottom w:type="dxa" w:w="60"/>
              <w:right w:type="dxa" w:w="100"/>
            </w:tcMar>
            <w:vAlign w:val="center"/>
          </w:tcPr>
          <w:p>
            <w:r>
              <w:rPr>
                <w:b w:val="false"/>
                <w:bCs w:val="false"/>
                <w:sz w:val="20"/>
                <w:szCs w:val="20"/>
              </w:rPr>
              <w:t xml:space="preserve">6. Logística e Integración 17TRACK</w:t>
            </w:r>
          </w:p>
        </w:tc>
        <w:tc>
          <w:tcPr>
            <w:tcW w:type="dxa" w:w="1700"/>
            <w:tcMar>
              <w:top w:type="dxa" w:w="60"/>
              <w:left w:type="dxa" w:w="100"/>
              <w:bottom w:type="dxa" w:w="60"/>
              <w:right w:type="dxa" w:w="100"/>
            </w:tcMar>
            <w:vAlign w:val="center"/>
          </w:tcPr>
          <w:p>
            <w:r>
              <w:rPr>
                <w:b w:val="false"/>
                <w:bCs w:val="false"/>
                <w:sz w:val="20"/>
                <w:szCs w:val="20"/>
              </w:rPr>
              <w:t xml:space="preserve">RF-23 a RF-25</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7. Panel de Impacto</w:t>
            </w:r>
          </w:p>
        </w:tc>
        <w:tc>
          <w:tcPr>
            <w:tcW w:type="dxa" w:w="1700"/>
            <w:tcMar>
              <w:top w:type="dxa" w:w="60"/>
              <w:left w:type="dxa" w:w="100"/>
              <w:bottom w:type="dxa" w:w="60"/>
              <w:right w:type="dxa" w:w="100"/>
            </w:tcMar>
            <w:vAlign w:val="center"/>
          </w:tcPr>
          <w:p>
            <w:r>
              <w:rPr>
                <w:b w:val="false"/>
                <w:bCs w:val="false"/>
                <w:sz w:val="20"/>
                <w:szCs w:val="20"/>
              </w:rPr>
              <w:t xml:space="preserve">RF-26, RF-27</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8. Catálogo de Venta</w:t>
            </w:r>
          </w:p>
        </w:tc>
        <w:tc>
          <w:tcPr>
            <w:tcW w:type="dxa" w:w="1700"/>
            <w:tcMar>
              <w:top w:type="dxa" w:w="60"/>
              <w:left w:type="dxa" w:w="100"/>
              <w:bottom w:type="dxa" w:w="60"/>
              <w:right w:type="dxa" w:w="100"/>
            </w:tcMar>
            <w:vAlign w:val="center"/>
          </w:tcPr>
          <w:p>
            <w:r>
              <w:rPr>
                <w:b w:val="false"/>
                <w:bCs w:val="false"/>
                <w:sz w:val="20"/>
                <w:szCs w:val="20"/>
              </w:rPr>
              <w:t xml:space="preserve">RF-28 a RF-30</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bl>
    <w:p>
      <w:pPr>
        <w:spacing w:after="120"/>
      </w:pPr>
      <w:r>
        <w:rPr>
          <w:i/>
          <w:iCs/>
        </w:rPr>
        <w:t xml:space="preserve">Nota: este documento especifica el alcance completo comprometido (RF-01 a RF-30). El detalle de estado de implementación es informativo para el seguimiento del proyecto y no forma parte de la especificación en sí.</w:t>
      </w:r>
    </w:p>
    <w:p>
      <w:pPr>
        <w:pStyle w:val="Heading2"/>
        <w:spacing w:after="150" w:before="300"/>
      </w:pPr>
      <w:r>
        <w:t xml:space="preserve">Apéndice C — Matriz de roles y permisos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900"/>
        <w:gridCol w:w="3360"/>
      </w:tblGrid>
      <w:tr>
        <w:trPr>
          <w:tblHeader/>
        </w:trPr>
        <w:tc>
          <w:tcPr>
            <w:tcW w:type="dxa" w:w="2800"/>
            <w:shd w:fill="D9D9D9" w:color="auto" w:val="clear"/>
            <w:tcMar>
              <w:top w:type="dxa" w:w="60"/>
              <w:left w:type="dxa" w:w="100"/>
              <w:bottom w:type="dxa" w:w="60"/>
              <w:right w:type="dxa" w:w="100"/>
            </w:tcMar>
            <w:vAlign w:val="center"/>
          </w:tcPr>
          <w:p>
            <w:r>
              <w:rPr>
                <w:b/>
                <w:bCs/>
                <w:sz w:val="20"/>
                <w:szCs w:val="20"/>
              </w:rPr>
              <w:t xml:space="preserve">Recurso</w:t>
            </w:r>
          </w:p>
        </w:tc>
        <w:tc>
          <w:tcPr>
            <w:tcW w:type="dxa" w:w="1300"/>
            <w:shd w:fill="D9D9D9" w:color="auto" w:val="clear"/>
            <w:tcMar>
              <w:top w:type="dxa" w:w="60"/>
              <w:left w:type="dxa" w:w="100"/>
              <w:bottom w:type="dxa" w:w="60"/>
              <w:right w:type="dxa" w:w="100"/>
            </w:tcMar>
            <w:vAlign w:val="center"/>
          </w:tcPr>
          <w:p>
            <w:r>
              <w:rPr>
                <w:b/>
                <w:bCs/>
                <w:sz w:val="20"/>
                <w:szCs w:val="20"/>
              </w:rPr>
              <w:t xml:space="preserve">ADMIN</w:t>
            </w:r>
          </w:p>
        </w:tc>
        <w:tc>
          <w:tcPr>
            <w:tcW w:type="dxa" w:w="1900"/>
            <w:shd w:fill="D9D9D9" w:color="auto" w:val="clear"/>
            <w:tcMar>
              <w:top w:type="dxa" w:w="60"/>
              <w:left w:type="dxa" w:w="100"/>
              <w:bottom w:type="dxa" w:w="60"/>
              <w:right w:type="dxa" w:w="100"/>
            </w:tcMar>
            <w:vAlign w:val="center"/>
          </w:tcPr>
          <w:p>
            <w:r>
              <w:rPr>
                <w:b/>
                <w:bCs/>
                <w:sz w:val="20"/>
                <w:szCs w:val="20"/>
              </w:rPr>
              <w:t xml:space="preserve">OPERATOR</w:t>
            </w:r>
          </w:p>
        </w:tc>
        <w:tc>
          <w:tcPr>
            <w:tcW w:type="dxa" w:w="3360"/>
            <w:shd w:fill="D9D9D9" w:color="auto" w:val="clear"/>
            <w:tcMar>
              <w:top w:type="dxa" w:w="60"/>
              <w:left w:type="dxa" w:w="100"/>
              <w:bottom w:type="dxa" w:w="60"/>
              <w:right w:type="dxa" w:w="100"/>
            </w:tcMar>
            <w:vAlign w:val="center"/>
          </w:tcPr>
          <w:p>
            <w:r>
              <w:rPr>
                <w:b/>
                <w:bCs/>
                <w:sz w:val="20"/>
                <w:szCs w:val="20"/>
              </w:rPr>
              <w:t xml:space="preserve">APPLICANT</w:t>
            </w:r>
          </w:p>
        </w:tc>
      </w:tr>
      <w:tr>
        <w:tc>
          <w:tcPr>
            <w:tcW w:type="dxa" w:w="2800"/>
            <w:tcMar>
              <w:top w:type="dxa" w:w="60"/>
              <w:left w:type="dxa" w:w="100"/>
              <w:bottom w:type="dxa" w:w="60"/>
              <w:right w:type="dxa" w:w="100"/>
            </w:tcMar>
            <w:vAlign w:val="center"/>
          </w:tcPr>
          <w:p>
            <w:r>
              <w:rPr>
                <w:b w:val="false"/>
                <w:bCs w:val="false"/>
                <w:sz w:val="20"/>
                <w:szCs w:val="20"/>
              </w:rPr>
              <w:t xml:space="preserve">Solicitantes (alta/edición/listado)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Validación de identidad y ANSES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Donantes y marcos donados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Inventario y asignación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Solo lectura de su propia asignación (/v1/me/assignments)</w:t>
            </w:r>
          </w:p>
        </w:tc>
      </w:tr>
      <w:tr>
        <w:tc>
          <w:tcPr>
            <w:tcW w:type="dxa" w:w="2800"/>
            <w:tcMar>
              <w:top w:type="dxa" w:w="60"/>
              <w:left w:type="dxa" w:w="100"/>
              <w:bottom w:type="dxa" w:w="60"/>
              <w:right w:type="dxa" w:w="100"/>
            </w:tcMar>
            <w:vAlign w:val="center"/>
          </w:tcPr>
          <w:p>
            <w:r>
              <w:rPr>
                <w:b w:val="false"/>
                <w:bCs w:val="false"/>
                <w:sz w:val="20"/>
                <w:szCs w:val="20"/>
              </w:rPr>
              <w:t xml:space="preserve">Turnos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 (gestión de todos)</w:t>
            </w:r>
          </w:p>
        </w:tc>
        <w:tc>
          <w:tcPr>
            <w:tcW w:type="dxa" w:w="3360"/>
            <w:tcMar>
              <w:top w:type="dxa" w:w="60"/>
              <w:left w:type="dxa" w:w="100"/>
              <w:bottom w:type="dxa" w:w="60"/>
              <w:right w:type="dxa" w:w="100"/>
            </w:tcMar>
            <w:vAlign w:val="center"/>
          </w:tcPr>
          <w:p>
            <w:r>
              <w:rPr>
                <w:b w:val="false"/>
                <w:bCs w:val="false"/>
                <w:sz w:val="20"/>
                <w:szCs w:val="20"/>
              </w:rPr>
              <w:t xml:space="preserve">Alta/consulta de los propios (/v1/me/appointments)</w:t>
            </w:r>
          </w:p>
        </w:tc>
      </w:tr>
      <w:tr>
        <w:tc>
          <w:tcPr>
            <w:tcW w:type="dxa" w:w="2800"/>
            <w:tcMar>
              <w:top w:type="dxa" w:w="60"/>
              <w:left w:type="dxa" w:w="100"/>
              <w:bottom w:type="dxa" w:w="60"/>
              <w:right w:type="dxa" w:w="100"/>
            </w:tcMar>
            <w:vAlign w:val="center"/>
          </w:tcPr>
          <w:p>
            <w:r>
              <w:rPr>
                <w:b w:val="false"/>
                <w:bCs w:val="false"/>
                <w:sz w:val="20"/>
                <w:szCs w:val="20"/>
              </w:rPr>
              <w:t xml:space="preserve">Envíos/logística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Indicadores de impacto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Catálogo — consulta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Público (sin autenticación)</w:t>
            </w:r>
          </w:p>
        </w:tc>
      </w:tr>
      <w:tr>
        <w:tc>
          <w:tcPr>
            <w:tcW w:type="dxa" w:w="2800"/>
            <w:tcMar>
              <w:top w:type="dxa" w:w="60"/>
              <w:left w:type="dxa" w:w="100"/>
              <w:bottom w:type="dxa" w:w="60"/>
              <w:right w:type="dxa" w:w="100"/>
            </w:tcMar>
            <w:vAlign w:val="center"/>
          </w:tcPr>
          <w:p>
            <w:r>
              <w:rPr>
                <w:b w:val="false"/>
                <w:bCs w:val="false"/>
                <w:sz w:val="20"/>
                <w:szCs w:val="20"/>
              </w:rPr>
              <w:t xml:space="preserve">Catálogo — alta/edición/venta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Usuarios y configuración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w:t>
            </w:r>
          </w:p>
        </w:tc>
        <w:tc>
          <w:tcPr>
            <w:tcW w:type="dxa" w:w="3360"/>
            <w:tcMar>
              <w:top w:type="dxa" w:w="60"/>
              <w:left w:type="dxa" w:w="100"/>
              <w:bottom w:type="dxa" w:w="60"/>
              <w:right w:type="dxa" w:w="100"/>
            </w:tcMar>
            <w:vAlign w:val="center"/>
          </w:tcPr>
          <w:p>
            <w:r>
              <w:rPr>
                <w:b w:val="false"/>
                <w:bCs w:val="false"/>
                <w:sz w:val="20"/>
                <w:szCs w:val="20"/>
              </w:rPr>
              <w:t xml:space="preserve">—</w:t>
            </w:r>
          </w:p>
        </w:tc>
      </w:tr>
    </w:tbl>
    <w:p>
      <w:r>
        <w:br w:type="page"/>
      </w:r>
    </w:p>
    <w:p>
      <w:pPr>
        <w:spacing w:before="1000"/>
      </w:pPr>
    </w:p>
    <w:p>
      <w:pPr>
        <w:spacing w:after="200"/>
        <w:jc w:val="center"/>
      </w:pPr>
      <w:r>
        <w:rPr>
          <w:b/>
          <w:bCs/>
          <w:sz w:val="38"/>
          <w:szCs w:val="38"/>
        </w:rPr>
        <w:t xml:space="preserve">Documento de Arquitectura de Software</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Modelo de vistas 4+1 (Kruchten) · Proyecto Final UTN-FRT 2026 · ID T045</w:t>
      </w:r>
    </w:p>
    <w:p>
      <w:r>
        <w:br w:type="page"/>
      </w:r>
    </w:p>
    <w:p>
      <w:pPr>
        <w:pStyle w:val="Heading1"/>
        <w:spacing w:after="200" w:before="400"/>
      </w:pPr>
      <w:r>
        <w:t xml:space="preserve">1. Introducción</w:t>
      </w:r>
    </w:p>
    <w:p>
      <w:pPr>
        <w:pStyle w:val="Heading2"/>
        <w:spacing w:after="150" w:before="300"/>
      </w:pPr>
      <w:r>
        <w:t xml:space="preserve">1.1 Propósito y alcance</w:t>
      </w:r>
    </w:p>
    <w:p>
      <w:pPr>
        <w:spacing w:after="140"/>
      </w:pPr>
      <w:r>
        <w:t xml:space="preserve">Este documento describe la arquitectura del sistema desde cinco perspectivas complementarias, cada una dirigida a un interesado distinto: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900"/>
        <w:gridCol w:w="33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Vista</w:t>
            </w:r>
          </w:p>
        </w:tc>
        <w:tc>
          <w:tcPr>
            <w:tcW w:type="dxa" w:w="4900"/>
            <w:shd w:fill="D9D9D9" w:color="auto" w:val="clear"/>
            <w:tcMar>
              <w:top w:type="dxa" w:w="60"/>
              <w:left w:type="dxa" w:w="80"/>
              <w:bottom w:type="dxa" w:w="60"/>
              <w:right w:type="dxa" w:w="80"/>
            </w:tcMar>
            <w:vAlign w:val="center"/>
          </w:tcPr>
          <w:p>
            <w:r>
              <w:rPr>
                <w:b/>
                <w:bCs/>
                <w:sz w:val="18"/>
                <w:szCs w:val="18"/>
              </w:rPr>
              <w:t xml:space="preserve">Responde a</w:t>
            </w:r>
          </w:p>
        </w:tc>
        <w:tc>
          <w:tcPr>
            <w:tcW w:type="dxa" w:w="3380"/>
            <w:shd w:fill="D9D9D9" w:color="auto" w:val="clear"/>
            <w:tcMar>
              <w:top w:type="dxa" w:w="60"/>
              <w:left w:type="dxa" w:w="80"/>
              <w:bottom w:type="dxa" w:w="60"/>
              <w:right w:type="dxa" w:w="80"/>
            </w:tcMar>
            <w:vAlign w:val="center"/>
          </w:tcPr>
          <w:p>
            <w:r>
              <w:rPr>
                <w:b/>
                <w:bCs/>
                <w:sz w:val="18"/>
                <w:szCs w:val="18"/>
              </w:rPr>
              <w:t xml:space="preserve">Interesado principal</w:t>
            </w:r>
          </w:p>
        </w:tc>
      </w:tr>
      <w:tr>
        <w:tc>
          <w:tcPr>
            <w:tcW w:type="dxa" w:w="1800"/>
            <w:tcMar>
              <w:top w:type="dxa" w:w="60"/>
              <w:left w:type="dxa" w:w="80"/>
              <w:bottom w:type="dxa" w:w="60"/>
              <w:right w:type="dxa" w:w="80"/>
            </w:tcMar>
            <w:vAlign w:val="center"/>
          </w:tcPr>
          <w:p>
            <w:r>
              <w:rPr>
                <w:b w:val="false"/>
                <w:bCs w:val="false"/>
                <w:sz w:val="17"/>
                <w:szCs w:val="17"/>
              </w:rPr>
              <w:t xml:space="preserve">Lógica</w:t>
            </w:r>
          </w:p>
        </w:tc>
        <w:tc>
          <w:tcPr>
            <w:tcW w:type="dxa" w:w="4900"/>
            <w:tcMar>
              <w:top w:type="dxa" w:w="60"/>
              <w:left w:type="dxa" w:w="80"/>
              <w:bottom w:type="dxa" w:w="60"/>
              <w:right w:type="dxa" w:w="80"/>
            </w:tcMar>
            <w:vAlign w:val="center"/>
          </w:tcPr>
          <w:p>
            <w:r>
              <w:rPr>
                <w:b w:val="false"/>
                <w:bCs w:val="false"/>
                <w:sz w:val="17"/>
                <w:szCs w:val="17"/>
              </w:rPr>
              <w:t xml:space="preserve">¿Qué entidades del dominio existen y cómo se relacionan?</w:t>
            </w:r>
          </w:p>
        </w:tc>
        <w:tc>
          <w:tcPr>
            <w:tcW w:type="dxa" w:w="3380"/>
            <w:tcMar>
              <w:top w:type="dxa" w:w="60"/>
              <w:left w:type="dxa" w:w="80"/>
              <w:bottom w:type="dxa" w:w="60"/>
              <w:right w:type="dxa" w:w="80"/>
            </w:tcMar>
            <w:vAlign w:val="center"/>
          </w:tcPr>
          <w:p>
            <w:r>
              <w:rPr>
                <w:b w:val="false"/>
                <w:bCs w:val="false"/>
                <w:sz w:val="17"/>
                <w:szCs w:val="17"/>
              </w:rPr>
              <w:t xml:space="preserve">Analistas, cátedra</w:t>
            </w:r>
          </w:p>
        </w:tc>
      </w:tr>
      <w:tr>
        <w:tc>
          <w:tcPr>
            <w:tcW w:type="dxa" w:w="1800"/>
            <w:tcMar>
              <w:top w:type="dxa" w:w="60"/>
              <w:left w:type="dxa" w:w="80"/>
              <w:bottom w:type="dxa" w:w="60"/>
              <w:right w:type="dxa" w:w="80"/>
            </w:tcMar>
            <w:vAlign w:val="center"/>
          </w:tcPr>
          <w:p>
            <w:r>
              <w:rPr>
                <w:b w:val="false"/>
                <w:bCs w:val="false"/>
                <w:sz w:val="17"/>
                <w:szCs w:val="17"/>
              </w:rPr>
              <w:t xml:space="preserve">Desarrollo</w:t>
            </w:r>
          </w:p>
        </w:tc>
        <w:tc>
          <w:tcPr>
            <w:tcW w:type="dxa" w:w="4900"/>
            <w:tcMar>
              <w:top w:type="dxa" w:w="60"/>
              <w:left w:type="dxa" w:w="80"/>
              <w:bottom w:type="dxa" w:w="60"/>
              <w:right w:type="dxa" w:w="80"/>
            </w:tcMar>
            <w:vAlign w:val="center"/>
          </w:tcPr>
          <w:p>
            <w:r>
              <w:rPr>
                <w:b w:val="false"/>
                <w:bCs w:val="false"/>
                <w:sz w:val="17"/>
                <w:szCs w:val="17"/>
              </w:rPr>
              <w:t xml:space="preserve">¿Cómo está organizado el código en capas y módulos?</w:t>
            </w:r>
          </w:p>
        </w:tc>
        <w:tc>
          <w:tcPr>
            <w:tcW w:type="dxa" w:w="3380"/>
            <w:tcMar>
              <w:top w:type="dxa" w:w="60"/>
              <w:left w:type="dxa" w:w="80"/>
              <w:bottom w:type="dxa" w:w="60"/>
              <w:right w:type="dxa" w:w="80"/>
            </w:tcMar>
            <w:vAlign w:val="center"/>
          </w:tcPr>
          <w:p>
            <w:r>
              <w:rPr>
                <w:b w:val="false"/>
                <w:bCs w:val="false"/>
                <w:sz w:val="17"/>
                <w:szCs w:val="17"/>
              </w:rPr>
              <w:t xml:space="preserve">Equipo de desarrollo</w:t>
            </w:r>
          </w:p>
        </w:tc>
      </w:tr>
      <w:tr>
        <w:tc>
          <w:tcPr>
            <w:tcW w:type="dxa" w:w="1800"/>
            <w:tcMar>
              <w:top w:type="dxa" w:w="60"/>
              <w:left w:type="dxa" w:w="80"/>
              <w:bottom w:type="dxa" w:w="60"/>
              <w:right w:type="dxa" w:w="80"/>
            </w:tcMar>
            <w:vAlign w:val="center"/>
          </w:tcPr>
          <w:p>
            <w:r>
              <w:rPr>
                <w:b w:val="false"/>
                <w:bCs w:val="false"/>
                <w:sz w:val="17"/>
                <w:szCs w:val="17"/>
              </w:rPr>
              <w:t xml:space="preserve">Procesos</w:t>
            </w:r>
          </w:p>
        </w:tc>
        <w:tc>
          <w:tcPr>
            <w:tcW w:type="dxa" w:w="4900"/>
            <w:tcMar>
              <w:top w:type="dxa" w:w="60"/>
              <w:left w:type="dxa" w:w="80"/>
              <w:bottom w:type="dxa" w:w="60"/>
              <w:right w:type="dxa" w:w="80"/>
            </w:tcMar>
            <w:vAlign w:val="center"/>
          </w:tcPr>
          <w:p>
            <w:r>
              <w:rPr>
                <w:b w:val="false"/>
                <w:bCs w:val="false"/>
                <w:sz w:val="17"/>
                <w:szCs w:val="17"/>
              </w:rPr>
              <w:t xml:space="preserve">¿Cómo fluye una operación en tiempo de ejecución?</w:t>
            </w:r>
          </w:p>
        </w:tc>
        <w:tc>
          <w:tcPr>
            <w:tcW w:type="dxa" w:w="3380"/>
            <w:tcMar>
              <w:top w:type="dxa" w:w="60"/>
              <w:left w:type="dxa" w:w="80"/>
              <w:bottom w:type="dxa" w:w="60"/>
              <w:right w:type="dxa" w:w="80"/>
            </w:tcMar>
            <w:vAlign w:val="center"/>
          </w:tcPr>
          <w:p>
            <w:r>
              <w:rPr>
                <w:b w:val="false"/>
                <w:bCs w:val="false"/>
                <w:sz w:val="17"/>
                <w:szCs w:val="17"/>
              </w:rPr>
              <w:t xml:space="preserve">Equipo de desarrollo, QA</w:t>
            </w:r>
          </w:p>
        </w:tc>
      </w:tr>
      <w:tr>
        <w:tc>
          <w:tcPr>
            <w:tcW w:type="dxa" w:w="1800"/>
            <w:tcMar>
              <w:top w:type="dxa" w:w="60"/>
              <w:left w:type="dxa" w:w="80"/>
              <w:bottom w:type="dxa" w:w="60"/>
              <w:right w:type="dxa" w:w="80"/>
            </w:tcMar>
            <w:vAlign w:val="center"/>
          </w:tcPr>
          <w:p>
            <w:r>
              <w:rPr>
                <w:b w:val="false"/>
                <w:bCs w:val="false"/>
                <w:sz w:val="17"/>
                <w:szCs w:val="17"/>
              </w:rPr>
              <w:t xml:space="preserve">Física</w:t>
            </w:r>
          </w:p>
        </w:tc>
        <w:tc>
          <w:tcPr>
            <w:tcW w:type="dxa" w:w="4900"/>
            <w:tcMar>
              <w:top w:type="dxa" w:w="60"/>
              <w:left w:type="dxa" w:w="80"/>
              <w:bottom w:type="dxa" w:w="60"/>
              <w:right w:type="dxa" w:w="80"/>
            </w:tcMar>
            <w:vAlign w:val="center"/>
          </w:tcPr>
          <w:p>
            <w:r>
              <w:rPr>
                <w:b w:val="false"/>
                <w:bCs w:val="false"/>
                <w:sz w:val="17"/>
                <w:szCs w:val="17"/>
              </w:rPr>
              <w:t xml:space="preserve">¿Dónde se ejecuta cada pieza y cómo se conectan?</w:t>
            </w:r>
          </w:p>
        </w:tc>
        <w:tc>
          <w:tcPr>
            <w:tcW w:type="dxa" w:w="3380"/>
            <w:tcMar>
              <w:top w:type="dxa" w:w="60"/>
              <w:left w:type="dxa" w:w="80"/>
              <w:bottom w:type="dxa" w:w="60"/>
              <w:right w:type="dxa" w:w="80"/>
            </w:tcMar>
            <w:vAlign w:val="center"/>
          </w:tcPr>
          <w:p>
            <w:r>
              <w:rPr>
                <w:b w:val="false"/>
                <w:bCs w:val="false"/>
                <w:sz w:val="17"/>
                <w:szCs w:val="17"/>
              </w:rPr>
              <w:t xml:space="preserve">DevOps, cátedra</w:t>
            </w:r>
          </w:p>
        </w:tc>
      </w:tr>
      <w:tr>
        <w:tc>
          <w:tcPr>
            <w:tcW w:type="dxa" w:w="1800"/>
            <w:tcMar>
              <w:top w:type="dxa" w:w="60"/>
              <w:left w:type="dxa" w:w="80"/>
              <w:bottom w:type="dxa" w:w="60"/>
              <w:right w:type="dxa" w:w="80"/>
            </w:tcMar>
            <w:vAlign w:val="center"/>
          </w:tcPr>
          <w:p>
            <w:r>
              <w:rPr>
                <w:b w:val="false"/>
                <w:bCs w:val="false"/>
                <w:sz w:val="17"/>
                <w:szCs w:val="17"/>
              </w:rPr>
              <w:t xml:space="preserve">Escenarios</w:t>
            </w:r>
          </w:p>
        </w:tc>
        <w:tc>
          <w:tcPr>
            <w:tcW w:type="dxa" w:w="4900"/>
            <w:tcMar>
              <w:top w:type="dxa" w:w="60"/>
              <w:left w:type="dxa" w:w="80"/>
              <w:bottom w:type="dxa" w:w="60"/>
              <w:right w:type="dxa" w:w="80"/>
            </w:tcMar>
            <w:vAlign w:val="center"/>
          </w:tcPr>
          <w:p>
            <w:r>
              <w:rPr>
                <w:b w:val="false"/>
                <w:bCs w:val="false"/>
                <w:sz w:val="17"/>
                <w:szCs w:val="17"/>
              </w:rPr>
              <w:t xml:space="preserve">¿Cómo se usan las cuatro vistas juntas para un caso de uso real?</w:t>
            </w:r>
          </w:p>
        </w:tc>
        <w:tc>
          <w:tcPr>
            <w:tcW w:type="dxa" w:w="3380"/>
            <w:tcMar>
              <w:top w:type="dxa" w:w="60"/>
              <w:left w:type="dxa" w:w="80"/>
              <w:bottom w:type="dxa" w:w="60"/>
              <w:right w:type="dxa" w:w="80"/>
            </w:tcMar>
            <w:vAlign w:val="center"/>
          </w:tcPr>
          <w:p>
            <w:r>
              <w:rPr>
                <w:b w:val="false"/>
                <w:bCs w:val="false"/>
                <w:sz w:val="17"/>
                <w:szCs w:val="17"/>
              </w:rPr>
              <w:t xml:space="preserve">Todos</w:t>
            </w:r>
          </w:p>
        </w:tc>
      </w:tr>
    </w:tbl>
    <w:p>
      <w:pPr>
        <w:pStyle w:val="Heading2"/>
        <w:spacing w:after="150" w:before="300"/>
      </w:pPr>
      <w:r>
        <w:t xml:space="preserve">1.2 Restricciones arquitectónicas de partida</w:t>
      </w:r>
    </w:p>
    <w:p>
      <w:pPr>
        <w:spacing w:after="140"/>
      </w:pPr>
      <w:r>
        <w:t xml:space="preserve">Estas decisiones ya están tomadas (CLAUDE.md, backend/CLAUDE.md) y no se reabren en este documento:</w:t>
      </w:r>
    </w:p>
    <w:p>
      <w:pPr>
        <w:pStyle w:val="ListParagraph"/>
        <w:numPr>
          <w:ilvl w:val="0"/>
          <w:numId w:val="5"/>
        </w:numPr>
        <w:spacing w:after="70"/>
      </w:pPr>
      <w:r>
        <w:t xml:space="preserve">Backend en capas estrictas con aislamiento entre dominios (detallado en la Vista de Desarrollo).</w:t>
      </w:r>
    </w:p>
    <w:p>
      <w:pPr>
        <w:pStyle w:val="ListParagraph"/>
        <w:numPr>
          <w:ilvl w:val="0"/>
          <w:numId w:val="5"/>
        </w:numPr>
        <w:spacing w:after="70"/>
      </w:pPr>
      <w:r>
        <w:t xml:space="preserve">Persistencia gestionada 100% por migraciones Flyway (Hibernate en modo none).</w:t>
      </w:r>
    </w:p>
    <w:p>
      <w:pPr>
        <w:pStyle w:val="ListParagraph"/>
        <w:numPr>
          <w:ilvl w:val="0"/>
          <w:numId w:val="5"/>
        </w:numPr>
        <w:spacing w:after="70"/>
      </w:pPr>
      <w:r>
        <w:t xml:space="preserve">JWT stateless con roles ADMIN, OPERATOR, APPLICANT.</w:t>
      </w:r>
    </w:p>
    <w:p>
      <w:pPr>
        <w:pStyle w:val="ListParagraph"/>
        <w:numPr>
          <w:ilvl w:val="0"/>
          <w:numId w:val="5"/>
        </w:numPr>
        <w:spacing w:after="70"/>
      </w:pPr>
      <w:r>
        <w:t xml:space="preserve">Ningún binario en PostgreSQL: imágenes y PDFs van a Cloudflare R2, solo se persiste la URL.</w:t>
      </w:r>
    </w:p>
    <w:p>
      <w:pPr>
        <w:pStyle w:val="ListParagraph"/>
        <w:numPr>
          <w:ilvl w:val="0"/>
          <w:numId w:val="5"/>
        </w:numPr>
        <w:spacing w:after="70"/>
      </w:pPr>
      <w:r>
        <w:t xml:space="preserve">El probador virtual corre 100% en el navegador (MediaPipe + Canvas), sin servidor de procesamiento propio.</w:t>
      </w:r>
    </w:p>
    <w:p>
      <w:pPr>
        <w:pStyle w:val="ListParagraph"/>
        <w:numPr>
          <w:ilvl w:val="0"/>
          <w:numId w:val="5"/>
        </w:numPr>
        <w:spacing w:after="70"/>
      </w:pPr>
      <w:r>
        <w:t xml:space="preserve">Integraciones de terceros aisladas cada una en su propio cliente (RenaperClient, TrackingClient, R2StorageClient).</w:t>
      </w:r>
    </w:p>
    <w:p>
      <w:pPr>
        <w:pStyle w:val="Heading1"/>
        <w:spacing w:after="200" w:before="400"/>
      </w:pPr>
      <w:r>
        <w:t xml:space="preserve">2. Vista Lógica</w:t>
      </w:r>
    </w:p>
    <w:p>
      <w:pPr>
        <w:spacing w:after="140"/>
      </w:pPr>
      <w:r>
        <w:t xml:space="preserve">Modela las entidades del dominio y sus relaciones, agrupadas por los módulos funcionales del SRS. Es independiente de cómo se implementan (esa es la Vista de Desarrollo) y de dónde se ejecutan (Vista Física).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36"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Vista Lógica: modelo de dominio</w:t>
      </w:r>
    </w:p>
    <w:p>
      <w:pPr>
        <w:spacing w:after="140"/>
      </w:pPr>
      <w:r>
        <w:rPr>
          <w:b/>
          <w:bCs/>
        </w:rPr>
        <w:t xml:space="preserve">Puntos clave:</w:t>
      </w:r>
    </w:p>
    <w:p>
      <w:pPr>
        <w:pStyle w:val="ListParagraph"/>
        <w:numPr>
          <w:ilvl w:val="0"/>
          <w:numId w:val="5"/>
        </w:numPr>
        <w:spacing w:after="70"/>
      </w:pPr>
      <w:r>
        <w:t xml:space="preserve">Applicant es el centro del modelo: concentra su validación de identidad (vía User solo si se autogestiona), su AnsesCertificate, sus Prescription y sus Appointment.</w:t>
      </w:r>
    </w:p>
    <w:p>
      <w:pPr>
        <w:pStyle w:val="ListParagraph"/>
        <w:numPr>
          <w:ilvl w:val="0"/>
          <w:numId w:val="5"/>
        </w:numPr>
        <w:spacing w:after="70"/>
      </w:pPr>
      <w:r>
        <w:t xml:space="preserve">Assignment es la entidad de trazabilidad: une un Applicant, una Prescription y un Frame concretos, y por eso es también el punto donde conviven los estados de negocio más sensibles (RF-15, RF-16).</w:t>
      </w:r>
    </w:p>
    <w:p>
      <w:pPr>
        <w:pStyle w:val="ListParagraph"/>
        <w:numPr>
          <w:ilvl w:val="0"/>
          <w:numId w:val="5"/>
        </w:numPr>
        <w:spacing w:after="70"/>
      </w:pPr>
      <w:r>
        <w:t xml:space="preserve">Frame es 1 a 0..1 con Assignment porque un marco solo puede estar activamente asignado a un beneficiario a la vez (su ciclo de vida completo vive en el propio Frame, no en la asignación).</w:t>
      </w:r>
    </w:p>
    <w:p>
      <w:pPr>
        <w:pStyle w:val="ListParagraph"/>
        <w:numPr>
          <w:ilvl w:val="0"/>
          <w:numId w:val="5"/>
        </w:numPr>
        <w:spacing w:after="70"/>
      </w:pPr>
      <w:r>
        <w:t xml:space="preserve">Shipment/ShipmentEvent modelan la logística entre sucursales como un sub-dominio propio, desacoplado de Assignment: un marco puede viajar por logística en cualquier punto de su ciclo de vida.</w:t>
      </w:r>
    </w:p>
    <w:p>
      <w:pPr>
        <w:pStyle w:val="ListParagraph"/>
        <w:numPr>
          <w:ilvl w:val="0"/>
          <w:numId w:val="5"/>
        </w:numPr>
        <w:spacing w:after="70"/>
      </w:pPr>
      <w:r>
        <w:t xml:space="preserve">Catálogo (Product/Sale) es un dominio intencionalmente independiente: no tiene relación de datos con Donor/Frame — son anteojos de sol para la venta, no marcos donados para beneficiarios.</w:t>
      </w:r>
    </w:p>
    <w:p>
      <w:pPr>
        <w:pStyle w:val="Heading1"/>
        <w:spacing w:after="200" w:before="400"/>
      </w:pPr>
      <w:r>
        <w:t xml:space="preserve">3. Vista de Desarrollo</w:t>
      </w:r>
    </w:p>
    <w:p>
      <w:pPr>
        <w:spacing w:after="140"/>
      </w:pPr>
      <w:r>
        <w:t xml:space="preserve">Describe cómo se organiza el código: la arquitectura en capas del backend por dominio, y la estructura feature-based del frontend.</w:t>
      </w:r>
    </w:p>
    <w:p>
      <w:pPr>
        <w:pStyle w:val="Heading2"/>
        <w:spacing w:after="150" w:before="300"/>
      </w:pPr>
      <w:r>
        <w:t xml:space="preserve">3.1 Backend — capas por dominio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480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37" cstate="none"/>
                          <a:srcRect/>
                          <a:stretch>
                            <a:fillRect/>
                          </a:stretch>
                        </pic:blipFill>
                        <pic:spPr bwMode="auto">
                          <a:xfrm>
                            <a:off x="0" y="0"/>
                            <a:ext cx="6276975" cy="3448050"/>
                          </a:xfrm>
                          <a:prstGeom prst="rect">
                            <a:avLst/>
                          </a:prstGeom>
                        </pic:spPr>
                      </pic:pic>
                    </a:graphicData>
                  </a:graphic>
                </wp:inline>
              </w:drawing>
            </w:r>
          </w:p>
        </w:tc>
      </w:tr>
    </w:tbl>
    <w:p>
      <w:pPr>
        <w:spacing w:after="260" w:before="100"/>
        <w:jc w:val="center"/>
      </w:pPr>
      <w:r>
        <w:rPr>
          <w:i/>
          <w:iCs/>
          <w:color w:val="555555"/>
          <w:sz w:val="18"/>
          <w:szCs w:val="18"/>
        </w:rPr>
        <w:t xml:space="preserve">Figura 2 — Arquitectura en capas del backend</w:t>
      </w:r>
    </w:p>
    <w:p>
      <w:pPr>
        <w:spacing w:after="140"/>
      </w:pPr>
      <w:r>
        <w:t xml:space="preserve">indicators es la excepción que confirma la regla: no tiene persistencia propia porque no gestiona una entidad nueva, sino que agrega datos de otros dominios. Su orchestrator (IndicatorsUseCaseHandler) inyecta directamente los Service (interfaces) de Frame/Assignment/Appointment/Shipment, llama a sus métodos de conteo/agregación, y le pasa los números ya resueltos a IndicatorsService.build(...) para el armado final del DTO. Esto es exactamente la regla de aislamiento en acción: la composición cross-domain vive solo en el orchestrator, nunca en un ServiceHandler, que solo puede inyectar su propio repositorio, un Helper de su mismo dominio, o un cliente de terceros.</w:t>
      </w:r>
    </w:p>
    <w:p>
      <w:pPr>
        <w:spacing w:after="140"/>
      </w:pPr>
      <w:r>
        <w:t xml:space="preserve">Los clientes de terceros (thirdPartyServiceComunication/) son un cuarto tipo de dependencia permitida para un ServiceHandler: RenaperClient (applicants, RF-02), TrackingClient (shipments, RF-23) y R2StorageClient (compartido por applicants, frames, appointments y catalog — la única dependencia verdaderamente transversal, por eso vive en terceros y no en un dominio de negocio).</w:t>
      </w:r>
    </w:p>
    <w:p>
      <w:pPr>
        <w:pStyle w:val="Heading2"/>
        <w:spacing w:after="150" w:before="300"/>
      </w:pPr>
      <w:r>
        <w:t xml:space="preserve">3.2 Frontend — estructura feature-based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5814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38" cstate="none"/>
                          <a:srcRect/>
                          <a:stretch>
                            <a:fillRect/>
                          </a:stretch>
                        </pic:blipFill>
                        <pic:spPr bwMode="auto">
                          <a:xfrm>
                            <a:off x="0" y="0"/>
                            <a:ext cx="6276975" cy="3581400"/>
                          </a:xfrm>
                          <a:prstGeom prst="rect">
                            <a:avLst/>
                          </a:prstGeom>
                        </pic:spPr>
                      </pic:pic>
                    </a:graphicData>
                  </a:graphic>
                </wp:inline>
              </w:drawing>
            </w:r>
          </w:p>
        </w:tc>
      </w:tr>
    </w:tbl>
    <w:p>
      <w:pPr>
        <w:spacing w:after="260" w:before="100"/>
        <w:jc w:val="center"/>
      </w:pPr>
      <w:r>
        <w:rPr>
          <w:i/>
          <w:iCs/>
          <w:color w:val="555555"/>
          <w:sz w:val="18"/>
          <w:szCs w:val="18"/>
        </w:rPr>
        <w:t xml:space="preserve">Figura 3 — Estructura feature-based del frontend</w:t>
      </w:r>
    </w:p>
    <w:p>
      <w:pPr>
        <w:spacing w:after="140"/>
      </w:pPr>
      <w:r>
        <w:t xml:space="preserve">El frontend espeja los dominios del backend uno a uno en features/{domain}/. La regla de aislamiento equivalente es más simple: los componentes nunca hacen fetch suelto, siempre pasan por el cliente de api/{domain}Api.ts correspondiente, que a su vez usa el wrapper de lib/ y el token de context/AuthContext. Las rutas (routes/) aplican los guards por rol antes de renderizar cualquier página.</w:t>
      </w:r>
    </w:p>
    <w:p>
      <w:pPr>
        <w:pStyle w:val="Heading1"/>
        <w:spacing w:after="200" w:before="400"/>
      </w:pPr>
      <w:r>
        <w:t xml:space="preserve">4. Vista de Procesos</w:t>
      </w:r>
    </w:p>
    <w:p>
      <w:pPr>
        <w:spacing w:after="140"/>
      </w:pPr>
      <w:r>
        <w:t xml:space="preserve">Describe el comportamiento en tiempo de ejecución de tres escenarios representativos: autenticación (sincrónico, iniciado por el cliente), un caso de uso transaccional multi-dominio (asignación de marco) y un evento asincrónico iniciado por un sistema externo (webhook de 17TRACK).</w:t>
      </w:r>
    </w:p>
    <w:p>
      <w:pPr>
        <w:pStyle w:val="Heading2"/>
        <w:spacing w:after="150" w:before="300"/>
      </w:pPr>
      <w:r>
        <w:t xml:space="preserve">4.1 Autenticación (login) y request autenticado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39"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4 — Secuencia de autenticación</w:t>
      </w:r>
    </w:p>
    <w:p>
      <w:pPr>
        <w:spacing w:after="140"/>
      </w:pPr>
      <w:r>
        <w:t xml:space="preserve">El backend es stateless: no hay sesión de servidor. Cada request posterior al login viaja con Authorization: Bearer &lt;token&gt; y lo valida JwtAuthenticationFilter en cada request, no una sola vez. Esto es lo que permite escalar el backend horizontalmente sin sticky sessions (relevante para la Vista Física, sección 5).</w:t>
      </w:r>
    </w:p>
    <w:p>
      <w:pPr>
        <w:pStyle w:val="Heading2"/>
        <w:spacing w:after="150" w:before="300"/>
      </w:pPr>
      <w:r>
        <w:t xml:space="preserve">4.2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910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0" cstate="none"/>
                          <a:srcRect/>
                          <a:stretch>
                            <a:fillRect/>
                          </a:stretch>
                        </pic:blipFill>
                        <pic:spPr bwMode="auto">
                          <a:xfrm>
                            <a:off x="0" y="0"/>
                            <a:ext cx="6276975" cy="4591050"/>
                          </a:xfrm>
                          <a:prstGeom prst="rect">
                            <a:avLst/>
                          </a:prstGeom>
                        </pic:spPr>
                      </pic:pic>
                    </a:graphicData>
                  </a:graphic>
                </wp:inline>
              </w:drawing>
            </w:r>
          </w:p>
        </w:tc>
      </w:tr>
    </w:tbl>
    <w:p>
      <w:pPr>
        <w:spacing w:after="260" w:before="100"/>
        <w:jc w:val="center"/>
      </w:pPr>
      <w:r>
        <w:rPr>
          <w:i/>
          <w:iCs/>
          <w:color w:val="555555"/>
          <w:sz w:val="18"/>
          <w:szCs w:val="18"/>
        </w:rPr>
        <w:t xml:space="preserve">Figura 5 — Secuencia de asignación de marco</w:t>
      </w:r>
    </w:p>
    <w:p>
      <w:pPr>
        <w:spacing w:after="140"/>
      </w:pPr>
      <w:r>
        <w:t xml:space="preserve">Este es el escenario que más dominios cruza en una sola operación (Applicant, Prescription, Frame, Assignment), y por eso ilustra mejor la regla de aislamiento: todas las llamadas cross-domain (ApplicantService.getPrescription, FrameService.markAsAssigned, ApplicantService.checkEligibility) las hace el orchestrator, nunca AssignmentServiceHandler directamente. Toda la operación corre en una única transacción: si falla marcar el marco como asignado, no se crea la asignación; si falla crear la asignación, la transacción revierte también la reserva del marco.</w:t>
      </w:r>
    </w:p>
    <w:p>
      <w:pPr>
        <w:pStyle w:val="Heading2"/>
        <w:spacing w:after="150" w:before="300"/>
      </w:pPr>
      <w:r>
        <w:t xml:space="preserve">4.3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719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41" cstate="none"/>
                          <a:srcRect/>
                          <a:stretch>
                            <a:fillRect/>
                          </a:stretch>
                        </pic:blipFill>
                        <pic:spPr bwMode="auto">
                          <a:xfrm>
                            <a:off x="0" y="0"/>
                            <a:ext cx="6276975" cy="4371975"/>
                          </a:xfrm>
                          <a:prstGeom prst="rect">
                            <a:avLst/>
                          </a:prstGeom>
                        </pic:spPr>
                      </pic:pic>
                    </a:graphicData>
                  </a:graphic>
                </wp:inline>
              </w:drawing>
            </w:r>
          </w:p>
        </w:tc>
      </w:tr>
    </w:tbl>
    <w:p>
      <w:pPr>
        <w:spacing w:after="260" w:before="100"/>
        <w:jc w:val="center"/>
      </w:pPr>
      <w:r>
        <w:rPr>
          <w:i/>
          <w:iCs/>
          <w:color w:val="555555"/>
          <w:sz w:val="18"/>
          <w:szCs w:val="18"/>
        </w:rPr>
        <w:t xml:space="preserve">Figura 6 — Secuencia del webhook de 17TRACK</w:t>
      </w:r>
    </w:p>
    <w:p>
      <w:pPr>
        <w:spacing w:after="140"/>
      </w:pPr>
      <w:r>
        <w:t xml:space="preserve">Caso distinto a los dos anteriores: el proceso lo inicia un sistema externo, no un usuario autenticado. El endpoint es público (17TRACK no puede firmar un JWT) y se autentica verificando la firma del header sign sobre el cuerpo crudo de la request — por eso el controller recibe String y no un DTO deserializado: cualquier re-serialización cambiaría los bytes sobre los que se calculó la firma. Un número de seguimiento desconocido responde 200 igual (silencioso), para que 17TRACK no reintente indefinidamente un push que el sistema nunca va a poder aplicar.</w:t>
      </w:r>
    </w:p>
    <w:p>
      <w:pPr>
        <w:pStyle w:val="Heading1"/>
        <w:spacing w:after="200" w:before="400"/>
      </w:pPr>
      <w:r>
        <w:t xml:space="preserve">5. Vista Física (despliegue)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42" cstate="none"/>
                          <a:srcRect/>
                          <a:stretch>
                            <a:fillRect/>
                          </a:stretch>
                        </pic:blipFill>
                        <pic:spPr bwMode="auto">
                          <a:xfrm>
                            <a:off x="0" y="0"/>
                            <a:ext cx="6276975" cy="3295650"/>
                          </a:xfrm>
                          <a:prstGeom prst="rect">
                            <a:avLst/>
                          </a:prstGeom>
                        </pic:spPr>
                      </pic:pic>
                    </a:graphicData>
                  </a:graphic>
                </wp:inline>
              </w:drawing>
            </w:r>
          </w:p>
        </w:tc>
      </w:tr>
    </w:tbl>
    <w:p>
      <w:pPr>
        <w:spacing w:after="260" w:before="100"/>
        <w:jc w:val="center"/>
      </w:pPr>
      <w:r>
        <w:rPr>
          <w:i/>
          <w:iCs/>
          <w:color w:val="555555"/>
          <w:sz w:val="18"/>
          <w:szCs w:val="18"/>
        </w:rPr>
        <w:t xml:space="preserve">Figura 7 — Diagrama de despliegue</w:t>
      </w:r>
    </w:p>
    <w:p>
      <w:pPr>
        <w:pStyle w:val="ListParagraph"/>
        <w:numPr>
          <w:ilvl w:val="0"/>
          <w:numId w:val="5"/>
        </w:numPr>
        <w:spacing w:after="70"/>
      </w:pPr>
      <w:r>
        <w:t xml:space="preserve">Backend y frontend se despliegan desde el mismo repositorio en Render, cada uno apuntando a backend/ o frontend/ como Root Directory (RNF-06). Son servicios independientes: el frontend es un static site (build de Vite) y el backend un web service (JVM).</w:t>
      </w:r>
    </w:p>
    <w:p>
      <w:pPr>
        <w:pStyle w:val="ListParagraph"/>
        <w:numPr>
          <w:ilvl w:val="0"/>
          <w:numId w:val="5"/>
        </w:numPr>
        <w:spacing w:after="70"/>
      </w:pPr>
      <w:r>
        <w:t xml:space="preserve">El backend es stateless (sección 4.1), por lo que Render puede escalarlo horizontalmente sin coordinación adicional entre instancias.</w:t>
      </w:r>
    </w:p>
    <w:p>
      <w:pPr>
        <w:pStyle w:val="ListParagraph"/>
        <w:numPr>
          <w:ilvl w:val="0"/>
          <w:numId w:val="5"/>
        </w:numPr>
        <w:spacing w:after="70"/>
      </w:pPr>
      <w:r>
        <w:t xml:space="preserve">PostgreSQL es la única fuente de verdad transaccional; el acceso es siempre desde el backend, nunca directo desde el frontend.</w:t>
      </w:r>
    </w:p>
    <w:p>
      <w:pPr>
        <w:pStyle w:val="ListParagraph"/>
        <w:numPr>
          <w:ilvl w:val="0"/>
          <w:numId w:val="5"/>
        </w:numPr>
        <w:spacing w:after="70"/>
      </w:pPr>
      <w:r>
        <w:t xml:space="preserve">Cloudflare R2 guarda todo binario (imágenes de marcos/catálogo, PDFs de recetas/ANSES/comprobantes); PostgreSQL solo tiene la URL (RNF-07).</w:t>
      </w:r>
    </w:p>
    <w:p>
      <w:pPr>
        <w:pStyle w:val="ListParagraph"/>
        <w:numPr>
          <w:ilvl w:val="0"/>
          <w:numId w:val="5"/>
        </w:numPr>
        <w:spacing w:after="70"/>
      </w:pPr>
      <w:r>
        <w:t xml:space="preserve">RENAPER se consume solo desde el backend, nunca desde el navegador (evita exponer credenciales del convenio de confronte de datos).</w:t>
      </w:r>
    </w:p>
    <w:p>
      <w:pPr>
        <w:pStyle w:val="ListParagraph"/>
        <w:numPr>
          <w:ilvl w:val="0"/>
          <w:numId w:val="5"/>
        </w:numPr>
        <w:spacing w:after="70"/>
      </w:pPr>
      <w:r>
        <w:t xml:space="preserve">17TRACK tiene un canal de ida (REST /register, iniciado por el backend al despachar un envío) y uno de vuelta (webhook push, iniciado por 17TRACK) — es la única integración bidireccional del sistema.</w:t>
      </w:r>
    </w:p>
    <w:p>
      <w:pPr>
        <w:pStyle w:val="ListParagraph"/>
        <w:numPr>
          <w:ilvl w:val="0"/>
          <w:numId w:val="5"/>
        </w:numPr>
        <w:spacing w:after="70"/>
      </w:pPr>
      <w:r>
        <w:t xml:space="preserve">MediaPipe corre enteramente en el navegador: no hay un nodo de despliegue propio para el probador virtual, es parte del bundle del frontend (RNF-04).</w:t>
      </w:r>
    </w:p>
    <w:p>
      <w:pPr>
        <w:pStyle w:val="Heading1"/>
        <w:spacing w:after="200" w:before="400"/>
      </w:pPr>
      <w:r>
        <w:t xml:space="preserve">6. Vista de Escenarios (+1)</w:t>
      </w:r>
    </w:p>
    <w:p>
      <w:pPr>
        <w:spacing w:after="140"/>
      </w:pPr>
      <w:r>
        <w:t xml:space="preserve">Conecta las cuatro vistas anteriores usando los casos de uso del Modelo de Casos de Uso como hilo conductor. Los tres escenarios de la Vista de Procesos (secciones 4.1–4.3) ya cubren: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3400"/>
        <w:gridCol w:w="2080"/>
      </w:tblGrid>
      <w:tr>
        <w:trPr>
          <w:tblHeader/>
        </w:trPr>
        <w:tc>
          <w:tcPr>
            <w:tcW w:type="dxa" w:w="2000"/>
            <w:shd w:fill="D9D9D9" w:color="auto" w:val="clear"/>
            <w:tcMar>
              <w:top w:type="dxa" w:w="60"/>
              <w:left w:type="dxa" w:w="80"/>
              <w:bottom w:type="dxa" w:w="60"/>
              <w:right w:type="dxa" w:w="80"/>
            </w:tcMar>
            <w:vAlign w:val="center"/>
          </w:tcPr>
          <w:p>
            <w:r>
              <w:rPr>
                <w:b/>
                <w:bCs/>
                <w:sz w:val="18"/>
                <w:szCs w:val="18"/>
              </w:rPr>
              <w:t xml:space="preserve">Escenario</w:t>
            </w:r>
          </w:p>
        </w:tc>
        <w:tc>
          <w:tcPr>
            <w:tcW w:type="dxa" w:w="2600"/>
            <w:shd w:fill="D9D9D9" w:color="auto" w:val="clear"/>
            <w:tcMar>
              <w:top w:type="dxa" w:w="60"/>
              <w:left w:type="dxa" w:w="80"/>
              <w:bottom w:type="dxa" w:w="60"/>
              <w:right w:type="dxa" w:w="80"/>
            </w:tcMar>
            <w:vAlign w:val="center"/>
          </w:tcPr>
          <w:p>
            <w:r>
              <w:rPr>
                <w:b/>
                <w:bCs/>
                <w:sz w:val="18"/>
                <w:szCs w:val="18"/>
              </w:rPr>
              <w:t xml:space="preserve">Vista Lógica involucrada</w:t>
            </w:r>
          </w:p>
        </w:tc>
        <w:tc>
          <w:tcPr>
            <w:tcW w:type="dxa" w:w="3400"/>
            <w:shd w:fill="D9D9D9" w:color="auto" w:val="clear"/>
            <w:tcMar>
              <w:top w:type="dxa" w:w="60"/>
              <w:left w:type="dxa" w:w="80"/>
              <w:bottom w:type="dxa" w:w="60"/>
              <w:right w:type="dxa" w:w="80"/>
            </w:tcMar>
            <w:vAlign w:val="center"/>
          </w:tcPr>
          <w:p>
            <w:r>
              <w:rPr>
                <w:b/>
                <w:bCs/>
                <w:sz w:val="18"/>
                <w:szCs w:val="18"/>
              </w:rPr>
              <w:t xml:space="preserve">Vista de Desarrollo</w:t>
            </w:r>
          </w:p>
        </w:tc>
        <w:tc>
          <w:tcPr>
            <w:tcW w:type="dxa" w:w="2080"/>
            <w:shd w:fill="D9D9D9" w:color="auto" w:val="clear"/>
            <w:tcMar>
              <w:top w:type="dxa" w:w="60"/>
              <w:left w:type="dxa" w:w="80"/>
              <w:bottom w:type="dxa" w:w="60"/>
              <w:right w:type="dxa" w:w="80"/>
            </w:tcMar>
            <w:vAlign w:val="center"/>
          </w:tcPr>
          <w:p>
            <w:r>
              <w:rPr>
                <w:b/>
                <w:bCs/>
                <w:sz w:val="18"/>
                <w:szCs w:val="18"/>
              </w:rPr>
              <w:t xml:space="preserve">Vista Física</w:t>
            </w:r>
          </w:p>
        </w:tc>
      </w:tr>
      <w:tr>
        <w:tc>
          <w:tcPr>
            <w:tcW w:type="dxa" w:w="2000"/>
            <w:tcMar>
              <w:top w:type="dxa" w:w="60"/>
              <w:left w:type="dxa" w:w="80"/>
              <w:bottom w:type="dxa" w:w="60"/>
              <w:right w:type="dxa" w:w="80"/>
            </w:tcMar>
            <w:vAlign w:val="center"/>
          </w:tcPr>
          <w:p>
            <w:r>
              <w:rPr>
                <w:b w:val="false"/>
                <w:bCs w:val="false"/>
                <w:sz w:val="17"/>
                <w:szCs w:val="17"/>
              </w:rPr>
              <w:t xml:space="preserve">UC-02 / login</w:t>
            </w:r>
          </w:p>
        </w:tc>
        <w:tc>
          <w:tcPr>
            <w:tcW w:type="dxa" w:w="2600"/>
            <w:tcMar>
              <w:top w:type="dxa" w:w="60"/>
              <w:left w:type="dxa" w:w="80"/>
              <w:bottom w:type="dxa" w:w="60"/>
              <w:right w:type="dxa" w:w="80"/>
            </w:tcMar>
            <w:vAlign w:val="center"/>
          </w:tcPr>
          <w:p>
            <w:r>
              <w:rPr>
                <w:b w:val="false"/>
                <w:bCs w:val="false"/>
                <w:sz w:val="17"/>
                <w:szCs w:val="17"/>
              </w:rPr>
              <w:t xml:space="preserve">User, Applicant</w:t>
            </w:r>
          </w:p>
        </w:tc>
        <w:tc>
          <w:tcPr>
            <w:tcW w:type="dxa" w:w="3400"/>
            <w:tcMar>
              <w:top w:type="dxa" w:w="60"/>
              <w:left w:type="dxa" w:w="80"/>
              <w:bottom w:type="dxa" w:w="60"/>
              <w:right w:type="dxa" w:w="80"/>
            </w:tcMar>
            <w:vAlign w:val="center"/>
          </w:tcPr>
          <w:p>
            <w:r>
              <w:rPr>
                <w:b w:val="false"/>
                <w:bCs w:val="false"/>
                <w:sz w:val="17"/>
                <w:szCs w:val="17"/>
              </w:rPr>
              <w:t xml:space="preserve">security (todas las capas)</w:t>
            </w:r>
          </w:p>
        </w:tc>
        <w:tc>
          <w:tcPr>
            <w:tcW w:type="dxa" w:w="2080"/>
            <w:tcMar>
              <w:top w:type="dxa" w:w="60"/>
              <w:left w:type="dxa" w:w="80"/>
              <w:bottom w:type="dxa" w:w="60"/>
              <w:right w:type="dxa" w:w="80"/>
            </w:tcMar>
            <w:vAlign w:val="center"/>
          </w:tcPr>
          <w:p>
            <w:r>
              <w:rPr>
                <w:b w:val="false"/>
                <w:bCs w:val="false"/>
                <w:sz w:val="17"/>
                <w:szCs w:val="17"/>
              </w:rPr>
              <w:t xml:space="preserve">Backend ↔ navegador</w:t>
            </w:r>
          </w:p>
        </w:tc>
      </w:tr>
      <w:tr>
        <w:tc>
          <w:tcPr>
            <w:tcW w:type="dxa" w:w="2000"/>
            <w:tcMar>
              <w:top w:type="dxa" w:w="60"/>
              <w:left w:type="dxa" w:w="80"/>
              <w:bottom w:type="dxa" w:w="60"/>
              <w:right w:type="dxa" w:w="80"/>
            </w:tcMar>
            <w:vAlign w:val="center"/>
          </w:tcPr>
          <w:p>
            <w:r>
              <w:rPr>
                <w:b w:val="false"/>
                <w:bCs w:val="false"/>
                <w:sz w:val="17"/>
                <w:szCs w:val="17"/>
              </w:rPr>
              <w:t xml:space="preserve">UC-15 Asignar marco</w:t>
            </w:r>
          </w:p>
        </w:tc>
        <w:tc>
          <w:tcPr>
            <w:tcW w:type="dxa" w:w="2600"/>
            <w:tcMar>
              <w:top w:type="dxa" w:w="60"/>
              <w:left w:type="dxa" w:w="80"/>
              <w:bottom w:type="dxa" w:w="60"/>
              <w:right w:type="dxa" w:w="80"/>
            </w:tcMar>
            <w:vAlign w:val="center"/>
          </w:tcPr>
          <w:p>
            <w:r>
              <w:rPr>
                <w:b w:val="false"/>
                <w:bCs w:val="false"/>
                <w:sz w:val="17"/>
                <w:szCs w:val="17"/>
              </w:rPr>
              <w:t xml:space="preserve">Applicant, Prescription, Frame, Assignment</w:t>
            </w:r>
          </w:p>
        </w:tc>
        <w:tc>
          <w:tcPr>
            <w:tcW w:type="dxa" w:w="3400"/>
            <w:tcMar>
              <w:top w:type="dxa" w:w="60"/>
              <w:left w:type="dxa" w:w="80"/>
              <w:bottom w:type="dxa" w:w="60"/>
              <w:right w:type="dxa" w:w="80"/>
            </w:tcMar>
            <w:vAlign w:val="center"/>
          </w:tcPr>
          <w:p>
            <w:r>
              <w:rPr>
                <w:b w:val="false"/>
                <w:bCs w:val="false"/>
                <w:sz w:val="17"/>
                <w:szCs w:val="17"/>
              </w:rPr>
              <w:t xml:space="preserve">applicants, frames, assignments (orchestrator cruza las tres)</w:t>
            </w:r>
          </w:p>
        </w:tc>
        <w:tc>
          <w:tcPr>
            <w:tcW w:type="dxa" w:w="2080"/>
            <w:tcMar>
              <w:top w:type="dxa" w:w="60"/>
              <w:left w:type="dxa" w:w="80"/>
              <w:bottom w:type="dxa" w:w="60"/>
              <w:right w:type="dxa" w:w="80"/>
            </w:tcMar>
            <w:vAlign w:val="center"/>
          </w:tcPr>
          <w:p>
            <w:r>
              <w:rPr>
                <w:b w:val="false"/>
                <w:bCs w:val="false"/>
                <w:sz w:val="17"/>
                <w:szCs w:val="17"/>
              </w:rPr>
              <w:t xml:space="preserve">Backend ↔ PostgreSQL</w:t>
            </w:r>
          </w:p>
        </w:tc>
      </w:tr>
      <w:tr>
        <w:tc>
          <w:tcPr>
            <w:tcW w:type="dxa" w:w="2000"/>
            <w:tcMar>
              <w:top w:type="dxa" w:w="60"/>
              <w:left w:type="dxa" w:w="80"/>
              <w:bottom w:type="dxa" w:w="60"/>
              <w:right w:type="dxa" w:w="80"/>
            </w:tcMar>
            <w:vAlign w:val="center"/>
          </w:tcPr>
          <w:p>
            <w:r>
              <w:rPr>
                <w:b w:val="false"/>
                <w:bCs w:val="false"/>
                <w:sz w:val="17"/>
                <w:szCs w:val="17"/>
              </w:rPr>
              <w:t xml:space="preserve">UC-24 Webhook 17TRACK</w:t>
            </w:r>
          </w:p>
        </w:tc>
        <w:tc>
          <w:tcPr>
            <w:tcW w:type="dxa" w:w="2600"/>
            <w:tcMar>
              <w:top w:type="dxa" w:w="60"/>
              <w:left w:type="dxa" w:w="80"/>
              <w:bottom w:type="dxa" w:w="60"/>
              <w:right w:type="dxa" w:w="80"/>
            </w:tcMar>
            <w:vAlign w:val="center"/>
          </w:tcPr>
          <w:p>
            <w:r>
              <w:rPr>
                <w:b w:val="false"/>
                <w:bCs w:val="false"/>
                <w:sz w:val="17"/>
                <w:szCs w:val="17"/>
              </w:rPr>
              <w:t xml:space="preserve">Shipment, ShipmentEvent</w:t>
            </w:r>
          </w:p>
        </w:tc>
        <w:tc>
          <w:tcPr>
            <w:tcW w:type="dxa" w:w="3400"/>
            <w:tcMar>
              <w:top w:type="dxa" w:w="60"/>
              <w:left w:type="dxa" w:w="80"/>
              <w:bottom w:type="dxa" w:w="60"/>
              <w:right w:type="dxa" w:w="80"/>
            </w:tcMar>
            <w:vAlign w:val="center"/>
          </w:tcPr>
          <w:p>
            <w:r>
              <w:rPr>
                <w:b w:val="false"/>
                <w:bCs w:val="false"/>
                <w:sz w:val="17"/>
                <w:szCs w:val="17"/>
              </w:rPr>
              <w:t xml:space="preserve">shipments (TrackingWebhookHelper, TrackingClient)</w:t>
            </w:r>
          </w:p>
        </w:tc>
        <w:tc>
          <w:tcPr>
            <w:tcW w:type="dxa" w:w="2080"/>
            <w:tcMar>
              <w:top w:type="dxa" w:w="60"/>
              <w:left w:type="dxa" w:w="80"/>
              <w:bottom w:type="dxa" w:w="60"/>
              <w:right w:type="dxa" w:w="80"/>
            </w:tcMar>
            <w:vAlign w:val="center"/>
          </w:tcPr>
          <w:p>
            <w:r>
              <w:rPr>
                <w:b w:val="false"/>
                <w:bCs w:val="false"/>
                <w:sz w:val="17"/>
                <w:szCs w:val="17"/>
              </w:rPr>
              <w:t xml:space="preserve">17TRACK → Backend → PostgreSQL</w:t>
            </w:r>
          </w:p>
        </w:tc>
      </w:tr>
    </w:tbl>
    <w:p>
      <w:pPr>
        <w:spacing w:after="140"/>
      </w:pPr>
      <w:r>
        <w:t xml:space="preserve">Estos tres escenarios se eligieron porque cada uno ejercita una característica arquitectónica distinta: autenticación stateless, transaccionalidad cross-domain coordinada solo desde el orchestrator, y manejo de un evento asincrónico con autenticación no basada en JWT. El resto de los casos de uso del sistema (docs/casos-de-uso/CASOS_DE_USO.md) siguen el mismo patrón de capas descripto en la Vista de Desarrollo (sección 3.1), por lo que no requieren un diagrama de procesos propio.</w:t>
      </w:r>
    </w:p>
    <w:p>
      <w:r>
        <w:br w:type="page"/>
      </w:r>
    </w:p>
    <w:p>
      <w:pPr>
        <w:spacing w:before="1000"/>
      </w:pPr>
    </w:p>
    <w:p>
      <w:pPr>
        <w:spacing w:after="200"/>
        <w:jc w:val="center"/>
      </w:pPr>
      <w:r>
        <w:rPr>
          <w:b/>
          <w:bCs/>
          <w:sz w:val="38"/>
          <w:szCs w:val="38"/>
        </w:rPr>
        <w:t xml:space="preserve">Casos de Uso Reales</w:t>
      </w:r>
    </w:p>
    <w:p>
      <w:pPr>
        <w:spacing w:after="100"/>
        <w:jc w:val="center"/>
      </w:pPr>
      <w:r>
        <w:rPr>
          <w:sz w:val="26"/>
          <w:szCs w:val="26"/>
        </w:rPr>
        <w:t xml:space="preserve">Diseño de interfaz gráfica — Sistema Banco de Anteojos</w:t>
      </w:r>
    </w:p>
    <w:p>
      <w:pPr>
        <w:spacing w:after="800"/>
        <w:jc w:val="center"/>
      </w:pPr>
      <w:r>
        <w:rPr>
          <w:i/>
          <w:iCs/>
          <w:sz w:val="20"/>
          <w:szCs w:val="20"/>
        </w:rPr>
        <w:t xml:space="preserve">Complementa el Modelo de Casos de Uso y los Mockups · Proyecto Final UTN-FRT 2026 · ID T045</w:t>
      </w:r>
    </w:p>
    <w:p>
      <w:r>
        <w:br w:type="page"/>
      </w:r>
    </w:p>
    <w:p>
      <w:pPr>
        <w:spacing w:after="120"/>
      </w:pPr>
      <w:r>
        <w:t xml:space="preserve">Cada caso de uso real concreta uno o más casos de uso esenciales del Modelo de Casos de Uso contra una pantalla real de los Mockups: describe la interacción paso a paso (campos, botones, mensajes) tal como aparece en el wireframe correspondiente.</w:t>
      </w:r>
    </w:p>
    <w:p>
      <w:pPr>
        <w:pStyle w:val="Heading1"/>
        <w:spacing w:after="180" w:before="420"/>
      </w:pPr>
      <w:r>
        <w:t xml:space="preserve">RU-01 — Iniciar sesión</w:t>
      </w:r>
    </w:p>
    <w:p>
      <w:pPr>
        <w:spacing w:after="160"/>
      </w:pPr>
      <w:r>
        <w:rPr>
          <w:i/>
          <w:iCs/>
          <w:color w:val="555555"/>
          <w:sz w:val="20"/>
          <w:szCs w:val="20"/>
        </w:rPr>
        <w:t xml:space="preserve">Pantalla(s): Inicio de sesión (Figura 1)  ·  Casos de uso: RNF-01  ·  Actor(es): Todos los roles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20"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usuario tiene una cuenta creada (ADMIN/OPERATOR por un administrador, o APPLICANT por autoregistro).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usuario abre la aplicación sin sesión activa.</w:t>
            </w:r>
          </w:p>
        </w:tc>
      </w:tr>
    </w:tbl>
    <w:p>
      <w:pPr>
        <w:spacing w:after="100"/>
      </w:pPr>
    </w:p>
    <w:p>
      <w:pPr>
        <w:spacing w:after="80" w:before="160"/>
      </w:pPr>
      <w:r>
        <w:rPr>
          <w:b/>
          <w:bCs/>
          <w:i/>
          <w:iCs/>
          <w:sz w:val="21"/>
          <w:szCs w:val="21"/>
        </w:rPr>
        <w:t xml:space="preserve">Flujo principal</w:t>
      </w:r>
    </w:p>
    <w:p>
      <w:pPr>
        <w:spacing w:after="70"/>
      </w:pPr>
      <w:r>
        <w:t xml:space="preserve">1. El usuario completa el campo Email y el campo Contraseña.</w:t>
      </w:r>
    </w:p>
    <w:p>
      <w:pPr>
        <w:spacing w:after="70"/>
      </w:pPr>
      <w:r>
        <w:t xml:space="preserve">2. Hace clic en Ingresar.</w:t>
      </w:r>
    </w:p>
    <w:p>
      <w:pPr>
        <w:spacing w:after="70"/>
      </w:pPr>
      <w:r>
        <w:t xml:space="preserve">3. El sistema valida las credenciales y redirige a la pantalla de inicio correspondiente a su rol (panel del Operador/Administrador, o portal de autogestión del Beneficiario).</w:t>
      </w:r>
    </w:p>
    <w:p>
      <w:pPr>
        <w:spacing w:after="80" w:before="160"/>
      </w:pPr>
      <w:r>
        <w:rPr>
          <w:b/>
          <w:bCs/>
          <w:i/>
          <w:iCs/>
          <w:sz w:val="21"/>
          <w:szCs w:val="21"/>
        </w:rPr>
        <w:t xml:space="preserve">Flujos alternativos</w:t>
      </w:r>
    </w:p>
    <w:p>
      <w:pPr>
        <w:pStyle w:val="ListParagraph"/>
        <w:numPr>
          <w:ilvl w:val="0"/>
          <w:numId w:val="6"/>
        </w:numPr>
        <w:spacing w:after="70"/>
      </w:pPr>
      <w:r>
        <w:t xml:space="preserve">Credenciales inválidas: el sistema muestra el mensaje de error devuelto por la API sin redirigir, sin indicar si falló el email o la contraseña.</w:t>
      </w:r>
    </w:p>
    <w:p>
      <w:pPr>
        <w:pStyle w:val="ListParagraph"/>
        <w:numPr>
          <w:ilvl w:val="0"/>
          <w:numId w:val="6"/>
        </w:numPr>
        <w:spacing w:after="70"/>
      </w:pPr>
      <w:r>
        <w:t xml:space="preserve">Beneficiario sin cuenta: hace clic en el enlace "¿Sos beneficiario? Registrate para pedir tu turno" y accede al formulario de registro (RF-20, autogestión).</w:t>
      </w:r>
    </w:p>
    <w:p>
      <w:pPr>
        <w:spacing w:after="80" w:before="160"/>
      </w:pPr>
      <w:r>
        <w:rPr>
          <w:b/>
          <w:bCs/>
          <w:i/>
          <w:iCs/>
          <w:sz w:val="21"/>
          <w:szCs w:val="21"/>
        </w:rPr>
        <w:t xml:space="preserve">Postcondición</w:t>
      </w:r>
    </w:p>
    <w:p>
      <w:pPr>
        <w:spacing w:after="120"/>
      </w:pPr>
      <w:r>
        <w:t xml:space="preserve">Sesión iniciada, JWT almacenado en el cliente para las siguientes requests.</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Email</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obligatorio, formato email</w:t>
            </w:r>
          </w:p>
        </w:tc>
      </w:tr>
      <w:tr>
        <w:tc>
          <w:tcPr>
            <w:tcW w:type="dxa" w:w="2600"/>
            <w:tcMar>
              <w:top w:type="dxa" w:w="60"/>
              <w:left w:type="dxa" w:w="80"/>
              <w:bottom w:type="dxa" w:w="60"/>
              <w:right w:type="dxa" w:w="80"/>
            </w:tcMar>
            <w:vAlign w:val="center"/>
          </w:tcPr>
          <w:p>
            <w:r>
              <w:rPr>
                <w:b w:val="false"/>
                <w:bCs w:val="false"/>
                <w:sz w:val="17"/>
                <w:szCs w:val="17"/>
              </w:rPr>
              <w:t xml:space="preserve">Contraseña</w:t>
            </w:r>
          </w:p>
        </w:tc>
        <w:tc>
          <w:tcPr>
            <w:tcW w:type="dxa" w:w="1800"/>
            <w:tcMar>
              <w:top w:type="dxa" w:w="60"/>
              <w:left w:type="dxa" w:w="80"/>
              <w:bottom w:type="dxa" w:w="60"/>
              <w:right w:type="dxa" w:w="80"/>
            </w:tcMar>
            <w:vAlign w:val="center"/>
          </w:tcPr>
          <w:p>
            <w:r>
              <w:rPr>
                <w:b w:val="false"/>
                <w:bCs w:val="false"/>
                <w:sz w:val="17"/>
                <w:szCs w:val="17"/>
              </w:rPr>
              <w:t xml:space="preserve">input password</w:t>
            </w:r>
          </w:p>
        </w:tc>
        <w:tc>
          <w:tcPr>
            <w:tcW w:type="dxa" w:w="5680"/>
            <w:tcMar>
              <w:top w:type="dxa" w:w="60"/>
              <w:left w:type="dxa" w:w="80"/>
              <w:bottom w:type="dxa" w:w="60"/>
              <w:right w:type="dxa" w:w="80"/>
            </w:tcMar>
            <w:vAlign w:val="center"/>
          </w:tcPr>
          <w:p>
            <w:r>
              <w:rPr>
                <w:b w:val="false"/>
                <w:bCs w:val="false"/>
                <w:sz w:val="17"/>
                <w:szCs w:val="17"/>
              </w:rPr>
              <w:t xml:space="preserve">obligatorio</w:t>
            </w:r>
          </w:p>
        </w:tc>
      </w:tr>
      <w:tr>
        <w:tc>
          <w:tcPr>
            <w:tcW w:type="dxa" w:w="2600"/>
            <w:tcMar>
              <w:top w:type="dxa" w:w="60"/>
              <w:left w:type="dxa" w:w="80"/>
              <w:bottom w:type="dxa" w:w="60"/>
              <w:right w:type="dxa" w:w="80"/>
            </w:tcMar>
            <w:vAlign w:val="center"/>
          </w:tcPr>
          <w:p>
            <w:r>
              <w:rPr>
                <w:b w:val="false"/>
                <w:bCs w:val="false"/>
                <w:sz w:val="17"/>
                <w:szCs w:val="17"/>
              </w:rPr>
              <w:t xml:space="preserve">Ingresar</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dispara POST /v1/auth/login</w:t>
            </w:r>
          </w:p>
        </w:tc>
      </w:tr>
    </w:tbl>
    <w:p>
      <w:pPr>
        <w:spacing w:after="200"/>
      </w:pPr>
    </w:p>
    <w:p>
      <w:pPr>
        <w:pStyle w:val="Heading1"/>
        <w:spacing w:after="180" w:before="420"/>
      </w:pPr>
      <w:r>
        <w:t xml:space="preserve">RU-02 — Gestionar solicitantes (listar y buscar)</w:t>
      </w:r>
    </w:p>
    <w:p>
      <w:pPr>
        <w:spacing w:after="160"/>
      </w:pPr>
      <w:r>
        <w:rPr>
          <w:i/>
          <w:iCs/>
          <w:color w:val="555555"/>
          <w:sz w:val="20"/>
          <w:szCs w:val="20"/>
        </w:rPr>
        <w:t xml:space="preserve">Pantalla(s): Solicitantes — Listado (Figura 3)  ·  Casos de uso: UC-08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22"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entra a "Solicitantes" desde el menú lateral.</w:t>
            </w:r>
          </w:p>
        </w:tc>
      </w:tr>
    </w:tbl>
    <w:p>
      <w:pPr>
        <w:spacing w:after="100"/>
      </w:pPr>
    </w:p>
    <w:p>
      <w:pPr>
        <w:spacing w:after="80" w:before="160"/>
      </w:pPr>
      <w:r>
        <w:rPr>
          <w:b/>
          <w:bCs/>
          <w:i/>
          <w:iCs/>
          <w:sz w:val="21"/>
          <w:szCs w:val="21"/>
        </w:rPr>
        <w:t xml:space="preserve">Flujo principal</w:t>
      </w:r>
    </w:p>
    <w:p>
      <w:pPr>
        <w:spacing w:after="70"/>
      </w:pPr>
      <w:r>
        <w:t xml:space="preserve">1. El sistema muestra la tabla de solicitantes: Nombre, DNI, estado de Identidad (badge), estado de ANSES (badge), fecha de la última receta.</w:t>
      </w:r>
    </w:p>
    <w:p>
      <w:pPr>
        <w:spacing w:after="70"/>
      </w:pPr>
      <w:r>
        <w:t xml:space="preserve">2. El operador escribe en "Buscar por DNI o nombre…" para filtrar, o elige un estado en el selector "Todos los estados".</w:t>
      </w:r>
    </w:p>
    <w:p>
      <w:pPr>
        <w:spacing w:after="70"/>
      </w:pPr>
      <w:r>
        <w:t xml:space="preserve">3. El operador hace clic en Ver sobre una fila para ir al detalle (RU-03).</w:t>
      </w:r>
    </w:p>
    <w:p>
      <w:pPr>
        <w:spacing w:after="70"/>
      </w:pPr>
      <w:r>
        <w:t xml:space="preserve">4. El operador hace clic en "+ Nuevo solicitante" para dar de alta uno nuevo (abre el formulario de datos personales de RU-03, vacío).</w:t>
      </w:r>
    </w:p>
    <w:p>
      <w:pPr>
        <w:spacing w:after="80" w:before="160"/>
      </w:pPr>
      <w:r>
        <w:rPr>
          <w:b/>
          <w:bCs/>
          <w:i/>
          <w:iCs/>
          <w:sz w:val="21"/>
          <w:szCs w:val="21"/>
        </w:rPr>
        <w:t xml:space="preserve">Flujos alternativos</w:t>
      </w:r>
    </w:p>
    <w:p>
      <w:pPr>
        <w:pStyle w:val="ListParagraph"/>
        <w:numPr>
          <w:ilvl w:val="0"/>
          <w:numId w:val="6"/>
        </w:numPr>
        <w:spacing w:after="70"/>
      </w:pPr>
      <w:r>
        <w:t xml:space="preserve">Sin resultados: la tabla muestra un estado vacío con el texto de búsqueda aplicado.</w:t>
      </w:r>
    </w:p>
    <w:p>
      <w:pPr>
        <w:spacing w:after="80" w:before="160"/>
      </w:pPr>
      <w:r>
        <w:rPr>
          <w:b/>
          <w:bCs/>
          <w:i/>
          <w:iCs/>
          <w:sz w:val="21"/>
          <w:szCs w:val="21"/>
        </w:rPr>
        <w:t xml:space="preserve">Postcondición</w:t>
      </w:r>
    </w:p>
    <w:p>
      <w:pPr>
        <w:spacing w:after="120"/>
      </w:pPr>
      <w:r>
        <w:t xml:space="preserve">El operador visualiza o navega al solicitante elegido.</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Buscar por DNI o nombre…</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filtra la tabla en vivo</w:t>
            </w:r>
          </w:p>
        </w:tc>
      </w:tr>
      <w:tr>
        <w:tc>
          <w:tcPr>
            <w:tcW w:type="dxa" w:w="2600"/>
            <w:tcMar>
              <w:top w:type="dxa" w:w="60"/>
              <w:left w:type="dxa" w:w="80"/>
              <w:bottom w:type="dxa" w:w="60"/>
              <w:right w:type="dxa" w:w="80"/>
            </w:tcMar>
            <w:vAlign w:val="center"/>
          </w:tcPr>
          <w:p>
            <w:r>
              <w:rPr>
                <w:b w:val="false"/>
                <w:bCs w:val="false"/>
                <w:sz w:val="17"/>
                <w:szCs w:val="17"/>
              </w:rPr>
              <w:t xml:space="preserve">Todos los estados</w:t>
            </w:r>
          </w:p>
        </w:tc>
        <w:tc>
          <w:tcPr>
            <w:tcW w:type="dxa" w:w="1800"/>
            <w:tcMar>
              <w:top w:type="dxa" w:w="60"/>
              <w:left w:type="dxa" w:w="80"/>
              <w:bottom w:type="dxa" w:w="60"/>
              <w:right w:type="dxa" w:w="80"/>
            </w:tcMar>
            <w:vAlign w:val="center"/>
          </w:tcPr>
          <w:p>
            <w:r>
              <w:rPr>
                <w:b w:val="false"/>
                <w:bCs w:val="false"/>
                <w:sz w:val="17"/>
                <w:szCs w:val="17"/>
              </w:rPr>
              <w:t xml:space="preserve">select</w:t>
            </w:r>
          </w:p>
        </w:tc>
        <w:tc>
          <w:tcPr>
            <w:tcW w:type="dxa" w:w="5680"/>
            <w:tcMar>
              <w:top w:type="dxa" w:w="60"/>
              <w:left w:type="dxa" w:w="80"/>
              <w:bottom w:type="dxa" w:w="60"/>
              <w:right w:type="dxa" w:w="80"/>
            </w:tcMar>
            <w:vAlign w:val="center"/>
          </w:tcPr>
          <w:p>
            <w:r>
              <w:rPr>
                <w:b w:val="false"/>
                <w:bCs w:val="false"/>
                <w:sz w:val="17"/>
                <w:szCs w:val="17"/>
              </w:rPr>
              <w:t xml:space="preserve">filtra por estado de identidad/ANSES</w:t>
            </w:r>
          </w:p>
        </w:tc>
      </w:tr>
      <w:tr>
        <w:tc>
          <w:tcPr>
            <w:tcW w:type="dxa" w:w="2600"/>
            <w:tcMar>
              <w:top w:type="dxa" w:w="60"/>
              <w:left w:type="dxa" w:w="80"/>
              <w:bottom w:type="dxa" w:w="60"/>
              <w:right w:type="dxa" w:w="80"/>
            </w:tcMar>
            <w:vAlign w:val="center"/>
          </w:tcPr>
          <w:p>
            <w:r>
              <w:rPr>
                <w:b w:val="false"/>
                <w:bCs w:val="false"/>
                <w:sz w:val="17"/>
                <w:szCs w:val="17"/>
              </w:rPr>
              <w:t xml:space="preserve">+ Nuevo solicitante</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navega al alta (RU-03)</w:t>
            </w:r>
          </w:p>
        </w:tc>
      </w:tr>
      <w:tr>
        <w:tc>
          <w:tcPr>
            <w:tcW w:type="dxa" w:w="2600"/>
            <w:tcMar>
              <w:top w:type="dxa" w:w="60"/>
              <w:left w:type="dxa" w:w="80"/>
              <w:bottom w:type="dxa" w:w="60"/>
              <w:right w:type="dxa" w:w="80"/>
            </w:tcMar>
            <w:vAlign w:val="center"/>
          </w:tcPr>
          <w:p>
            <w:r>
              <w:rPr>
                <w:b w:val="false"/>
                <w:bCs w:val="false"/>
                <w:sz w:val="17"/>
                <w:szCs w:val="17"/>
              </w:rPr>
              <w:t xml:space="preserve">Badge de Identidad</w:t>
            </w:r>
          </w:p>
        </w:tc>
        <w:tc>
          <w:tcPr>
            <w:tcW w:type="dxa" w:w="1800"/>
            <w:tcMar>
              <w:top w:type="dxa" w:w="60"/>
              <w:left w:type="dxa" w:w="80"/>
              <w:bottom w:type="dxa" w:w="60"/>
              <w:right w:type="dxa" w:w="80"/>
            </w:tcMar>
            <w:vAlign w:val="center"/>
          </w:tcPr>
          <w:p>
            <w:r>
              <w:rPr>
                <w:b w:val="false"/>
                <w:bCs w:val="false"/>
                <w:sz w:val="17"/>
                <w:szCs w:val="17"/>
              </w:rPr>
              <w:t xml:space="preserve">badge</w:t>
            </w:r>
          </w:p>
        </w:tc>
        <w:tc>
          <w:tcPr>
            <w:tcW w:type="dxa" w:w="5680"/>
            <w:tcMar>
              <w:top w:type="dxa" w:w="60"/>
              <w:left w:type="dxa" w:w="80"/>
              <w:bottom w:type="dxa" w:w="60"/>
              <w:right w:type="dxa" w:w="80"/>
            </w:tcMar>
            <w:vAlign w:val="center"/>
          </w:tcPr>
          <w:p>
            <w:r>
              <w:rPr>
                <w:b w:val="false"/>
                <w:bCs w:val="false"/>
                <w:sz w:val="17"/>
                <w:szCs w:val="17"/>
              </w:rPr>
              <w:t xml:space="preserve">verde=Validada, azul=Manual (presencial), rojo=Pendiente</w:t>
            </w:r>
          </w:p>
        </w:tc>
      </w:tr>
      <w:tr>
        <w:tc>
          <w:tcPr>
            <w:tcW w:type="dxa" w:w="2600"/>
            <w:tcMar>
              <w:top w:type="dxa" w:w="60"/>
              <w:left w:type="dxa" w:w="80"/>
              <w:bottom w:type="dxa" w:w="60"/>
              <w:right w:type="dxa" w:w="80"/>
            </w:tcMar>
            <w:vAlign w:val="center"/>
          </w:tcPr>
          <w:p>
            <w:r>
              <w:rPr>
                <w:b w:val="false"/>
                <w:bCs w:val="false"/>
                <w:sz w:val="17"/>
                <w:szCs w:val="17"/>
              </w:rPr>
              <w:t xml:space="preserve">Badge de ANSES</w:t>
            </w:r>
          </w:p>
        </w:tc>
        <w:tc>
          <w:tcPr>
            <w:tcW w:type="dxa" w:w="1800"/>
            <w:tcMar>
              <w:top w:type="dxa" w:w="60"/>
              <w:left w:type="dxa" w:w="80"/>
              <w:bottom w:type="dxa" w:w="60"/>
              <w:right w:type="dxa" w:w="80"/>
            </w:tcMar>
            <w:vAlign w:val="center"/>
          </w:tcPr>
          <w:p>
            <w:r>
              <w:rPr>
                <w:b w:val="false"/>
                <w:bCs w:val="false"/>
                <w:sz w:val="17"/>
                <w:szCs w:val="17"/>
              </w:rPr>
              <w:t xml:space="preserve">badge</w:t>
            </w:r>
          </w:p>
        </w:tc>
        <w:tc>
          <w:tcPr>
            <w:tcW w:type="dxa" w:w="5680"/>
            <w:tcMar>
              <w:top w:type="dxa" w:w="60"/>
              <w:left w:type="dxa" w:w="80"/>
              <w:bottom w:type="dxa" w:w="60"/>
              <w:right w:type="dxa" w:w="80"/>
            </w:tcMar>
            <w:vAlign w:val="center"/>
          </w:tcPr>
          <w:p>
            <w:r>
              <w:rPr>
                <w:b w:val="false"/>
                <w:bCs w:val="false"/>
                <w:sz w:val="17"/>
                <w:szCs w:val="17"/>
              </w:rPr>
              <w:t xml:space="preserve">verde=Vigente, amarillo=Vencido, rojo=Sin cargar</w:t>
            </w:r>
          </w:p>
        </w:tc>
      </w:tr>
    </w:tbl>
    <w:p>
      <w:pPr>
        <w:spacing w:after="200"/>
      </w:pPr>
    </w:p>
    <w:p>
      <w:pPr>
        <w:pStyle w:val="Heading1"/>
        <w:spacing w:after="180" w:before="420"/>
      </w:pPr>
      <w:r>
        <w:t xml:space="preserve">RU-03 — Alta, edición y validación del solicitante</w:t>
      </w:r>
    </w:p>
    <w:p>
      <w:pPr>
        <w:spacing w:after="160"/>
      </w:pPr>
      <w:r>
        <w:rPr>
          <w:i/>
          <w:iCs/>
          <w:color w:val="555555"/>
          <w:sz w:val="20"/>
          <w:szCs w:val="20"/>
        </w:rPr>
        <w:t xml:space="preserve">Pantalla(s): Solicitantes — Detalle (Figura 4)  ·  Casos de uso: UC-01, UC-02, UC-06, UC-03, UC-04, UC-05, UC-07  ·  Actor(es): Operador (+ RENAPER)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23"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Solicitante nuevo (RU-02, "+ Nuevo solicitante") o existente (RU-02, "Ver").</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registrar o completar los datos de elegibilidad de un beneficiario.</w:t>
            </w:r>
          </w:p>
        </w:tc>
      </w:tr>
    </w:tbl>
    <w:p>
      <w:pPr>
        <w:spacing w:after="100"/>
      </w:pPr>
    </w:p>
    <w:p>
      <w:pPr>
        <w:spacing w:after="80" w:before="160"/>
      </w:pPr>
      <w:r>
        <w:rPr>
          <w:b/>
          <w:bCs/>
          <w:i/>
          <w:iCs/>
          <w:sz w:val="21"/>
          <w:szCs w:val="21"/>
        </w:rPr>
        <w:t xml:space="preserve">Flujo principal (alta y datos personales — UC-01, UC-08)</w:t>
      </w:r>
    </w:p>
    <w:p>
      <w:pPr>
        <w:spacing w:after="70"/>
      </w:pPr>
      <w:r>
        <w:t xml:space="preserve">1. El operador completa Nombre, Apellido, DNI, Fecha de nacimiento, Teléfono en la tarjeta "Datos personales".</w:t>
      </w:r>
    </w:p>
    <w:p>
      <w:pPr>
        <w:spacing w:after="70"/>
      </w:pPr>
      <w:r>
        <w:t xml:space="preserve">2. Hace clic en Guardar cambios. El campo DNI queda deshabilitado para ediciones futuras (es la identidad contra la que se valida RENAPER).</w:t>
      </w:r>
    </w:p>
    <w:p>
      <w:pPr>
        <w:spacing w:after="80" w:before="160"/>
      </w:pPr>
      <w:r>
        <w:rPr>
          <w:b/>
          <w:bCs/>
          <w:i/>
          <w:iCs/>
          <w:sz w:val="21"/>
          <w:szCs w:val="21"/>
        </w:rPr>
        <w:t xml:space="preserve">Flujo — Validación de identidad (UC-02, UC-06)</w:t>
      </w:r>
    </w:p>
    <w:p>
      <w:pPr>
        <w:spacing w:after="70"/>
      </w:pPr>
      <w:r>
        <w:t xml:space="preserve">1. En la tarjeta "Validación de identidad", el operador hace clic en Reintentar validación RENAPER. El sistema consulta el SID y actualiza el badge de estado ("Validada por RENAPER").</w:t>
      </w:r>
    </w:p>
    <w:p>
      <w:pPr>
        <w:spacing w:after="70"/>
      </w:pPr>
      <w:r>
        <w:t xml:space="preserve">2. Alternativo (RENAPER no disponible, UC-06): el operador hace clic en Validar presencialmente (DNI físico), confirma que verificó el documento en persona; el badge pasa a "Manual (presencial)".</w:t>
      </w:r>
    </w:p>
    <w:p>
      <w:pPr>
        <w:spacing w:after="80" w:before="160"/>
      </w:pPr>
      <w:r>
        <w:rPr>
          <w:b/>
          <w:bCs/>
          <w:i/>
          <w:iCs/>
          <w:sz w:val="21"/>
          <w:szCs w:val="21"/>
        </w:rPr>
        <w:t xml:space="preserve">Flujo — Certificación ANSES (UC-03, UC-04, UC-05)</w:t>
      </w:r>
    </w:p>
    <w:p>
      <w:pPr>
        <w:spacing w:after="70"/>
      </w:pPr>
      <w:r>
        <w:t xml:space="preserve">1. En la tarjeta "Certificación Negativa de ANSES", el operador hace clic en Reemplazar PDF (o, si es la primera carga, el botón equivalente de subida) y selecciona el archivo.</w:t>
      </w:r>
    </w:p>
    <w:p>
      <w:pPr>
        <w:spacing w:after="70"/>
      </w:pPr>
      <w:r>
        <w:t xml:space="preserve">2. El sistema decodifica el código de barras y muestra el CUIL detectado con el badge "coincide"/"no coincide" (UC-04), y la fecha de emisión con el badge "vigente (≤30 días)" / "vencido" (UC-05). Ninguno de los dos bloquea el guardado: quedan a criterio del operador.</w:t>
      </w:r>
    </w:p>
    <w:p>
      <w:pPr>
        <w:spacing w:after="80" w:before="160"/>
      </w:pPr>
      <w:r>
        <w:rPr>
          <w:b/>
          <w:bCs/>
          <w:i/>
          <w:iCs/>
          <w:sz w:val="21"/>
          <w:szCs w:val="21"/>
        </w:rPr>
        <w:t xml:space="preserve">Flujo — Receta médica (UC-07)</w:t>
      </w:r>
    </w:p>
    <w:p>
      <w:pPr>
        <w:spacing w:after="70"/>
      </w:pPr>
      <w:r>
        <w:t xml:space="preserve">1. En la tarjeta "Receta médica", el operador hace clic en + Nueva receta y carga los valores de Esfera, Cilindro y Eje para OD y OI (y opcionalmente el archivo de la receta).</w:t>
      </w:r>
    </w:p>
    <w:p>
      <w:pPr>
        <w:spacing w:after="70"/>
      </w:pPr>
      <w:r>
        <w:t xml:space="preserve">2. La tabla de recetas se actualiza con la nueva fila.</w:t>
      </w:r>
    </w:p>
    <w:p>
      <w:pPr>
        <w:spacing w:after="80" w:before="160"/>
      </w:pPr>
      <w:r>
        <w:rPr>
          <w:b/>
          <w:bCs/>
          <w:i/>
          <w:iCs/>
          <w:sz w:val="21"/>
          <w:szCs w:val="21"/>
        </w:rPr>
        <w:t xml:space="preserve">Flujos alternativos</w:t>
      </w:r>
    </w:p>
    <w:p>
      <w:pPr>
        <w:pStyle w:val="ListParagraph"/>
        <w:numPr>
          <w:ilvl w:val="0"/>
          <w:numId w:val="6"/>
        </w:numPr>
        <w:spacing w:after="70"/>
      </w:pPr>
      <w:r>
        <w:t xml:space="preserve">DNI duplicado al guardar datos personales: el sistema rechaza el alta con mensaje de error.</w:t>
      </w:r>
    </w:p>
    <w:p>
      <w:pPr>
        <w:pStyle w:val="ListParagraph"/>
        <w:numPr>
          <w:ilvl w:val="0"/>
          <w:numId w:val="6"/>
        </w:numPr>
        <w:spacing w:after="70"/>
      </w:pPr>
      <w:r>
        <w:t xml:space="preserve">PDF de ANSES no legible / código de barras no encontrado: el sistema informa el error y no completa el CUIL/fecha detectados; el operador puede reintentar la carga.</w:t>
      </w:r>
    </w:p>
    <w:p>
      <w:pPr>
        <w:spacing w:after="80" w:before="160"/>
      </w:pPr>
      <w:r>
        <w:rPr>
          <w:b/>
          <w:bCs/>
          <w:i/>
          <w:iCs/>
          <w:sz w:val="21"/>
          <w:szCs w:val="21"/>
        </w:rPr>
        <w:t xml:space="preserve">Postcondición</w:t>
      </w:r>
    </w:p>
    <w:p>
      <w:pPr>
        <w:spacing w:after="120"/>
      </w:pPr>
      <w:r>
        <w:t xml:space="preserve">El solicitante queda con sus datos, estado de validación y receta actualizados, disponible para el match de asignación (RU-06).</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DNI</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editable solo en el alta; de sólo lectura después</w:t>
            </w:r>
          </w:p>
        </w:tc>
      </w:tr>
      <w:tr>
        <w:tc>
          <w:tcPr>
            <w:tcW w:type="dxa" w:w="2600"/>
            <w:tcMar>
              <w:top w:type="dxa" w:w="60"/>
              <w:left w:type="dxa" w:w="80"/>
              <w:bottom w:type="dxa" w:w="60"/>
              <w:right w:type="dxa" w:w="80"/>
            </w:tcMar>
            <w:vAlign w:val="center"/>
          </w:tcPr>
          <w:p>
            <w:r>
              <w:rPr>
                <w:b w:val="false"/>
                <w:bCs w:val="false"/>
                <w:sz w:val="17"/>
                <w:szCs w:val="17"/>
              </w:rPr>
              <w:t xml:space="preserve">Reintentar validación RENAPER</w:t>
            </w:r>
          </w:p>
        </w:tc>
        <w:tc>
          <w:tcPr>
            <w:tcW w:type="dxa" w:w="1800"/>
            <w:tcMar>
              <w:top w:type="dxa" w:w="60"/>
              <w:left w:type="dxa" w:w="80"/>
              <w:bottom w:type="dxa" w:w="60"/>
              <w:right w:type="dxa" w:w="80"/>
            </w:tcMar>
            <w:vAlign w:val="center"/>
          </w:tcPr>
          <w:p>
            <w:r>
              <w:rPr>
                <w:b w:val="false"/>
                <w:bCs w:val="false"/>
                <w:sz w:val="17"/>
                <w:szCs w:val="17"/>
              </w:rPr>
              <w:t xml:space="preserve">botón</w:t>
            </w:r>
          </w:p>
        </w:tc>
        <w:tc>
          <w:tcPr>
            <w:tcW w:type="dxa" w:w="5680"/>
            <w:tcMar>
              <w:top w:type="dxa" w:w="60"/>
              <w:left w:type="dxa" w:w="80"/>
              <w:bottom w:type="dxa" w:w="60"/>
              <w:right w:type="dxa" w:w="80"/>
            </w:tcMar>
            <w:vAlign w:val="center"/>
          </w:tcPr>
          <w:p>
            <w:r>
              <w:rPr>
                <w:b w:val="false"/>
                <w:bCs w:val="false"/>
                <w:sz w:val="17"/>
                <w:szCs w:val="17"/>
              </w:rPr>
              <w:t xml:space="preserve">dispara la consulta al SID</w:t>
            </w:r>
          </w:p>
        </w:tc>
      </w:tr>
      <w:tr>
        <w:tc>
          <w:tcPr>
            <w:tcW w:type="dxa" w:w="2600"/>
            <w:tcMar>
              <w:top w:type="dxa" w:w="60"/>
              <w:left w:type="dxa" w:w="80"/>
              <w:bottom w:type="dxa" w:w="60"/>
              <w:right w:type="dxa" w:w="80"/>
            </w:tcMar>
            <w:vAlign w:val="center"/>
          </w:tcPr>
          <w:p>
            <w:r>
              <w:rPr>
                <w:b w:val="false"/>
                <w:bCs w:val="false"/>
                <w:sz w:val="17"/>
                <w:szCs w:val="17"/>
              </w:rPr>
              <w:t xml:space="preserve">Validar presencialmente (DNI físico)</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registra validación manual (UC-06)</w:t>
            </w:r>
          </w:p>
        </w:tc>
      </w:tr>
      <w:tr>
        <w:tc>
          <w:tcPr>
            <w:tcW w:type="dxa" w:w="2600"/>
            <w:tcMar>
              <w:top w:type="dxa" w:w="60"/>
              <w:left w:type="dxa" w:w="80"/>
              <w:bottom w:type="dxa" w:w="60"/>
              <w:right w:type="dxa" w:w="80"/>
            </w:tcMar>
            <w:vAlign w:val="center"/>
          </w:tcPr>
          <w:p>
            <w:r>
              <w:rPr>
                <w:b w:val="false"/>
                <w:bCs w:val="false"/>
                <w:sz w:val="17"/>
                <w:szCs w:val="17"/>
              </w:rPr>
              <w:t xml:space="preserve">Reemplazar PDF</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sube el certificado ANSES a R2</w:t>
            </w:r>
          </w:p>
        </w:tc>
      </w:tr>
      <w:tr>
        <w:tc>
          <w:tcPr>
            <w:tcW w:type="dxa" w:w="2600"/>
            <w:tcMar>
              <w:top w:type="dxa" w:w="60"/>
              <w:left w:type="dxa" w:w="80"/>
              <w:bottom w:type="dxa" w:w="60"/>
              <w:right w:type="dxa" w:w="80"/>
            </w:tcMar>
            <w:vAlign w:val="center"/>
          </w:tcPr>
          <w:p>
            <w:r>
              <w:rPr>
                <w:b w:val="false"/>
                <w:bCs w:val="false"/>
                <w:sz w:val="17"/>
                <w:szCs w:val="17"/>
              </w:rPr>
              <w:t xml:space="preserve">+ Nueva receta</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abre el alta de una nueva graduación</w:t>
            </w:r>
          </w:p>
        </w:tc>
      </w:tr>
    </w:tbl>
    <w:p>
      <w:pPr>
        <w:spacing w:after="200"/>
      </w:pPr>
    </w:p>
    <w:p>
      <w:pPr>
        <w:pStyle w:val="Heading1"/>
        <w:spacing w:after="180" w:before="420"/>
      </w:pPr>
      <w:r>
        <w:t xml:space="preserve">RU-04 — Registrar donante y recepción de marcos</w:t>
      </w:r>
    </w:p>
    <w:p>
      <w:pPr>
        <w:spacing w:after="160"/>
      </w:pPr>
      <w:r>
        <w:rPr>
          <w:i/>
          <w:iCs/>
          <w:color w:val="555555"/>
          <w:sz w:val="20"/>
          <w:szCs w:val="20"/>
        </w:rPr>
        <w:t xml:space="preserve">Pantalla(s): Donantes — Listado y Registrar recepción (Figuras 5 y 6)  ·  Casos de uso: UC-09, UC-10, UC-11, UC-12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24"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25"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Ingresa una donación física a la fundación.</w:t>
            </w:r>
          </w:p>
        </w:tc>
      </w:tr>
    </w:tbl>
    <w:p>
      <w:pPr>
        <w:spacing w:after="100"/>
      </w:pPr>
    </w:p>
    <w:p>
      <w:pPr>
        <w:spacing w:after="80" w:before="160"/>
      </w:pPr>
      <w:r>
        <w:rPr>
          <w:b/>
          <w:bCs/>
          <w:i/>
          <w:iCs/>
          <w:sz w:val="21"/>
          <w:szCs w:val="21"/>
        </w:rPr>
        <w:t xml:space="preserve">Flujo principal</w:t>
      </w:r>
    </w:p>
    <w:p>
      <w:pPr>
        <w:spacing w:after="70"/>
      </w:pPr>
      <w:r>
        <w:t xml:space="preserve">1. Desde "Donantes", el operador busca con "Buscar donante…" o hace clic en "+ Nuevo donante" (UC-09) para cargar Nombre / Entidad y Teléfono de contacto.</w:t>
      </w:r>
    </w:p>
    <w:p>
      <w:pPr>
        <w:spacing w:after="70"/>
      </w:pPr>
      <w:r>
        <w:t xml:space="preserve">2. Entra al donante y abre "Nueva recepción" (UC-10).</w:t>
      </w:r>
    </w:p>
    <w:p>
      <w:pPr>
        <w:spacing w:after="70"/>
      </w:pPr>
      <w:r>
        <w:t xml:space="preserve">3. Por cada marco recibido, hace clic en + Agregar marco y completa Precinto, Tipo, Material y Medidas (UC-11) — el precinto es el identificador único que no se repite.</w:t>
      </w:r>
    </w:p>
    <w:p>
      <w:pPr>
        <w:spacing w:after="70"/>
      </w:pPr>
      <w:r>
        <w:t xml:space="preserve">4. Hace clic en Confirmar recepción. El sistema crea cada marco en estado AVAILABLE.</w:t>
      </w:r>
    </w:p>
    <w:p>
      <w:pPr>
        <w:spacing w:after="80" w:before="160"/>
      </w:pPr>
      <w:r>
        <w:rPr>
          <w:b/>
          <w:bCs/>
          <w:i/>
          <w:iCs/>
          <w:sz w:val="21"/>
          <w:szCs w:val="21"/>
        </w:rPr>
        <w:t xml:space="preserve">Flujos alternativos</w:t>
      </w:r>
    </w:p>
    <w:p>
      <w:pPr>
        <w:pStyle w:val="ListParagraph"/>
        <w:numPr>
          <w:ilvl w:val="0"/>
          <w:numId w:val="6"/>
        </w:numPr>
        <w:spacing w:after="70"/>
      </w:pPr>
      <w:r>
        <w:t xml:space="preserve">Precinto duplicado: el sistema rechaza la fila con ese precinto y pide corregirlo antes de confirmar.</w:t>
      </w:r>
    </w:p>
    <w:p>
      <w:pPr>
        <w:spacing w:after="80" w:before="160"/>
      </w:pPr>
      <w:r>
        <w:rPr>
          <w:b/>
          <w:bCs/>
          <w:i/>
          <w:iCs/>
          <w:sz w:val="21"/>
          <w:szCs w:val="21"/>
        </w:rPr>
        <w:t xml:space="preserve">Postcondición</w:t>
      </w:r>
    </w:p>
    <w:p>
      <w:pPr>
        <w:spacing w:after="120"/>
      </w:pPr>
      <w:r>
        <w:t xml:space="preserve">Los marcos quedan disponibles en el inventario (RU-05), vinculados al donante.</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 Agregar marco</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agrega una fila editable a la tabla de marcos recibidos</w:t>
            </w:r>
          </w:p>
        </w:tc>
      </w:tr>
      <w:tr>
        <w:tc>
          <w:tcPr>
            <w:tcW w:type="dxa" w:w="2600"/>
            <w:tcMar>
              <w:top w:type="dxa" w:w="60"/>
              <w:left w:type="dxa" w:w="80"/>
              <w:bottom w:type="dxa" w:w="60"/>
              <w:right w:type="dxa" w:w="80"/>
            </w:tcMar>
            <w:vAlign w:val="center"/>
          </w:tcPr>
          <w:p>
            <w:r>
              <w:rPr>
                <w:b w:val="false"/>
                <w:bCs w:val="false"/>
                <w:sz w:val="17"/>
                <w:szCs w:val="17"/>
              </w:rPr>
              <w:t xml:space="preserve">Confirmar recepción</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crea los Frame en lote</w:t>
            </w:r>
          </w:p>
        </w:tc>
      </w:tr>
    </w:tbl>
    <w:p>
      <w:pPr>
        <w:spacing w:after="200"/>
      </w:pPr>
    </w:p>
    <w:p>
      <w:pPr>
        <w:pStyle w:val="Heading1"/>
        <w:spacing w:after="180" w:before="420"/>
      </w:pPr>
      <w:r>
        <w:t xml:space="preserve">RU-05 — Consultar inventario de marcos</w:t>
      </w:r>
    </w:p>
    <w:p>
      <w:pPr>
        <w:spacing w:after="160"/>
      </w:pPr>
      <w:r>
        <w:rPr>
          <w:i/>
          <w:iCs/>
          <w:color w:val="555555"/>
          <w:sz w:val="20"/>
          <w:szCs w:val="20"/>
        </w:rPr>
        <w:t xml:space="preserve">Pantalla(s): Inventario de marcos (Figura 7)  ·  Casos de uso: UC-13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26"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Existen marcos cargados (RU-04) o a mano.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ver qué marcos hay disponibles.</w:t>
            </w:r>
          </w:p>
        </w:tc>
      </w:tr>
    </w:tbl>
    <w:p>
      <w:pPr>
        <w:spacing w:after="100"/>
      </w:pPr>
    </w:p>
    <w:p>
      <w:pPr>
        <w:spacing w:after="80" w:before="160"/>
      </w:pPr>
      <w:r>
        <w:rPr>
          <w:b/>
          <w:bCs/>
          <w:i/>
          <w:iCs/>
          <w:sz w:val="21"/>
          <w:szCs w:val="21"/>
        </w:rPr>
        <w:t xml:space="preserve">Flujo principal</w:t>
      </w:r>
    </w:p>
    <w:p>
      <w:pPr>
        <w:spacing w:after="70"/>
      </w:pPr>
      <w:r>
        <w:t xml:space="preserve">1. El sistema lista los marcos con Precinto, Tipo, Material, Medidas y Estado (badge: Disponible/Asignado/En óptica/Descartado).</w:t>
      </w:r>
    </w:p>
    <w:p>
      <w:pPr>
        <w:spacing w:after="70"/>
      </w:pPr>
      <w:r>
        <w:t xml:space="preserve">2. El operador filtra con "Buscar por precinto…" o el selector de estado.</w:t>
      </w:r>
    </w:p>
    <w:p>
      <w:pPr>
        <w:spacing w:after="70"/>
      </w:pPr>
      <w:r>
        <w:t xml:space="preserve">3. Hace clic en Ver para el detalle de un marco, o en "+ Cargar marco a mano" para dar de alta uno sin pasar por una recepción de donación.</w:t>
      </w:r>
    </w:p>
    <w:p>
      <w:pPr>
        <w:spacing w:after="80" w:before="160"/>
      </w:pPr>
      <w:r>
        <w:rPr>
          <w:b/>
          <w:bCs/>
          <w:i/>
          <w:iCs/>
          <w:sz w:val="21"/>
          <w:szCs w:val="21"/>
        </w:rPr>
        <w:t xml:space="preserve">Postcondición</w:t>
      </w:r>
    </w:p>
    <w:p>
      <w:pPr>
        <w:spacing w:after="120"/>
      </w:pPr>
      <w:r>
        <w:t xml:space="preserve">El operador ubica el marco que necesita para una asignación (RU-06).</w:t>
      </w:r>
    </w:p>
    <w:p>
      <w:pPr>
        <w:spacing w:after="200"/>
      </w:pPr>
    </w:p>
    <w:p>
      <w:pPr>
        <w:pStyle w:val="Heading1"/>
        <w:spacing w:after="180" w:before="420"/>
      </w:pPr>
      <w:r>
        <w:t xml:space="preserve">RU-06 — Asignar marco a beneficiario</w:t>
      </w:r>
    </w:p>
    <w:p>
      <w:pPr>
        <w:spacing w:after="160"/>
      </w:pPr>
      <w:r>
        <w:rPr>
          <w:i/>
          <w:iCs/>
          <w:color w:val="555555"/>
          <w:sz w:val="20"/>
          <w:szCs w:val="20"/>
        </w:rPr>
        <w:t xml:space="preserve">Pantalla(s): Asignación — Match y asignar marco (Figura 8)  ·  Casos de uso: UC-14, UC-15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27"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solicitante tiene identidad validada, ANSES cargado y receta registrada (RU-03).</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decide asignar un marco al beneficiario.</w:t>
            </w:r>
          </w:p>
        </w:tc>
      </w:tr>
    </w:tbl>
    <w:p>
      <w:pPr>
        <w:spacing w:after="100"/>
      </w:pPr>
    </w:p>
    <w:p>
      <w:pPr>
        <w:spacing w:after="80" w:before="160"/>
      </w:pPr>
      <w:r>
        <w:rPr>
          <w:b/>
          <w:bCs/>
          <w:i/>
          <w:iCs/>
          <w:sz w:val="21"/>
          <w:szCs w:val="21"/>
        </w:rPr>
        <w:t xml:space="preserve">Flujo principal</w:t>
      </w:r>
    </w:p>
    <w:p>
      <w:pPr>
        <w:spacing w:after="70"/>
      </w:pPr>
      <w:r>
        <w:t xml:space="preserve">1. El sistema muestra la receta del beneficiario (Esfera/Cilindro/Eje por ojo).</w:t>
      </w:r>
    </w:p>
    <w:p>
      <w:pPr>
        <w:spacing w:after="70"/>
      </w:pPr>
      <w:r>
        <w:t xml:space="preserve">2. El sistema ejecuta el match (UC-14) y lista los marcos candidatos ordenados por compatibilidad (badge Alta/Media).</w:t>
      </w:r>
    </w:p>
    <w:p>
      <w:pPr>
        <w:spacing w:after="70"/>
      </w:pPr>
      <w:r>
        <w:t xml:space="preserve">3. El operador hace clic en Asignar sobre el marco elegido.</w:t>
      </w:r>
    </w:p>
    <w:p>
      <w:pPr>
        <w:spacing w:after="70"/>
      </w:pPr>
      <w:r>
        <w:t xml:space="preserve">4. El sistema crea la asignación y descuenta el marco del inventario disponible (queda ASSIGNED).</w:t>
      </w:r>
    </w:p>
    <w:p>
      <w:pPr>
        <w:spacing w:after="80" w:before="160"/>
      </w:pPr>
      <w:r>
        <w:rPr>
          <w:b/>
          <w:bCs/>
          <w:i/>
          <w:iCs/>
          <w:sz w:val="21"/>
          <w:szCs w:val="21"/>
        </w:rPr>
        <w:t xml:space="preserve">Flujos alternativos</w:t>
      </w:r>
    </w:p>
    <w:p>
      <w:pPr>
        <w:pStyle w:val="ListParagraph"/>
        <w:numPr>
          <w:ilvl w:val="0"/>
          <w:numId w:val="6"/>
        </w:numPr>
        <w:spacing w:after="70"/>
      </w:pPr>
      <w:r>
        <w:t xml:space="preserve">Sin marcos compatibles: la lista aparece vacía; el operador puede volver más adelante cuando ingrese una donación compatible.</w:t>
      </w:r>
    </w:p>
    <w:p>
      <w:pPr>
        <w:pStyle w:val="ListParagraph"/>
        <w:numPr>
          <w:ilvl w:val="0"/>
          <w:numId w:val="6"/>
        </w:numPr>
        <w:spacing w:after="70"/>
      </w:pPr>
      <w:r>
        <w:t xml:space="preserve">El marco elegido dejó de estar disponible (otro operador lo asignó primero): el sistema rechaza la asignación con un mensaje y refresca la lista.</w:t>
      </w:r>
    </w:p>
    <w:p>
      <w:pPr>
        <w:spacing w:after="80" w:before="160"/>
      </w:pPr>
      <w:r>
        <w:rPr>
          <w:b/>
          <w:bCs/>
          <w:i/>
          <w:iCs/>
          <w:sz w:val="21"/>
          <w:szCs w:val="21"/>
        </w:rPr>
        <w:t xml:space="preserve">Postcondición</w:t>
      </w:r>
    </w:p>
    <w:p>
      <w:pPr>
        <w:spacing w:after="120"/>
      </w:pPr>
      <w:r>
        <w:t xml:space="preserve">Asignación creada, visible en la trazabilidad (RU-07).</w:t>
      </w:r>
    </w:p>
    <w:p>
      <w:pPr>
        <w:spacing w:after="200"/>
      </w:pPr>
    </w:p>
    <w:p>
      <w:pPr>
        <w:pStyle w:val="Heading1"/>
        <w:spacing w:after="180" w:before="420"/>
      </w:pPr>
      <w:r>
        <w:t xml:space="preserve">RU-07 — Consultar trazabilidad de la asignación</w:t>
      </w:r>
    </w:p>
    <w:p>
      <w:pPr>
        <w:spacing w:after="160"/>
      </w:pPr>
      <w:r>
        <w:rPr>
          <w:i/>
          <w:iCs/>
          <w:color w:val="555555"/>
          <w:sz w:val="20"/>
          <w:szCs w:val="20"/>
        </w:rPr>
        <w:t xml:space="preserve">Pantalla(s): Trazabilidad de la asignación (Figura 9)  ·  Casos de uso: UC-16  ·  Actor(es): Operador,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28"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Existe una asignación (RU-06).</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Se necesita conocer en qué etapa está un par de anteojos.</w:t>
            </w:r>
          </w:p>
        </w:tc>
      </w:tr>
    </w:tbl>
    <w:p>
      <w:pPr>
        <w:spacing w:after="100"/>
      </w:pPr>
    </w:p>
    <w:p>
      <w:pPr>
        <w:spacing w:after="80" w:before="160"/>
      </w:pPr>
      <w:r>
        <w:rPr>
          <w:b/>
          <w:bCs/>
          <w:i/>
          <w:iCs/>
          <w:sz w:val="21"/>
          <w:szCs w:val="21"/>
        </w:rPr>
        <w:t xml:space="preserve">Flujo principal</w:t>
      </w:r>
    </w:p>
    <w:p>
      <w:pPr>
        <w:spacing w:after="70"/>
      </w:pPr>
      <w:r>
        <w:t xml:space="preserve">1. El sistema muestra la línea de tiempo del evento: asignado → enviado a óptica → retornado con cristales → entregado, cada uno con fecha y responsable.</w:t>
      </w:r>
    </w:p>
    <w:p>
      <w:pPr>
        <w:spacing w:after="70"/>
      </w:pPr>
      <w:r>
        <w:t xml:space="preserve">2. Muestra el estado actual como badge (p. ej. "Entregado").</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RU-08 — Usar el probador virtual</w:t>
      </w:r>
    </w:p>
    <w:p>
      <w:pPr>
        <w:spacing w:after="160"/>
      </w:pPr>
      <w:r>
        <w:rPr>
          <w:i/>
          <w:iCs/>
          <w:color w:val="555555"/>
          <w:sz w:val="20"/>
          <w:szCs w:val="20"/>
        </w:rPr>
        <w:t xml:space="preserve">Pantalla(s): Probador virtual (Figura 10)  ·  Casos de uso: UC-17, UC-18, UC-19  ·  Actor(es): Beneficiario,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29"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navegador tiene acceso a cámara o a una foto ya tomada.</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beneficiario o el operador quiere previsualizar cómo le quedan los marcos.</w:t>
            </w:r>
          </w:p>
        </w:tc>
      </w:tr>
    </w:tbl>
    <w:p>
      <w:pPr>
        <w:spacing w:after="100"/>
      </w:pPr>
    </w:p>
    <w:p>
      <w:pPr>
        <w:spacing w:after="80" w:before="160"/>
      </w:pPr>
      <w:r>
        <w:rPr>
          <w:b/>
          <w:bCs/>
          <w:i/>
          <w:iCs/>
          <w:sz w:val="21"/>
          <w:szCs w:val="21"/>
        </w:rPr>
        <w:t xml:space="preserve">Flujo principal</w:t>
      </w:r>
    </w:p>
    <w:p>
      <w:pPr>
        <w:spacing w:after="70"/>
      </w:pPr>
      <w:r>
        <w:t xml:space="preserve">1. El usuario hace clic en Tomar / subir foto.</w:t>
      </w:r>
    </w:p>
    <w:p>
      <w:pPr>
        <w:spacing w:after="70"/>
      </w:pPr>
      <w:r>
        <w:t xml:space="preserve">2. MediaPipe Face Mesh detecta el rostro sobre la foto estática (UC-17).</w:t>
      </w:r>
    </w:p>
    <w:p>
      <w:pPr>
        <w:spacing w:after="70"/>
      </w:pPr>
      <w:r>
        <w:t xml:space="preserve">3. El usuario elige un marco de la grilla "Marcos disponibles para probar" (UC-19).</w:t>
      </w:r>
    </w:p>
    <w:p>
      <w:pPr>
        <w:spacing w:after="70"/>
      </w:pPr>
      <w:r>
        <w:t xml:space="preserve">4. El sistema superpone el marco en 2D sobre la foto (UC-18) y habilita el ajuste manual de Rotación y Altura.</w:t>
      </w:r>
    </w:p>
    <w:p>
      <w:pPr>
        <w:spacing w:after="80" w:before="160"/>
      </w:pPr>
      <w:r>
        <w:rPr>
          <w:b/>
          <w:bCs/>
          <w:i/>
          <w:iCs/>
          <w:sz w:val="21"/>
          <w:szCs w:val="21"/>
        </w:rPr>
        <w:t xml:space="preserve">Flujos alternativos</w:t>
      </w:r>
    </w:p>
    <w:p>
      <w:pPr>
        <w:pStyle w:val="ListParagraph"/>
        <w:numPr>
          <w:ilvl w:val="0"/>
          <w:numId w:val="6"/>
        </w:numPr>
        <w:spacing w:after="70"/>
      </w:pPr>
      <w:r>
        <w:t xml:space="preserve">MediaPipe no disponible (dispositivo o red): el sistema muestra un estado degradado ("probador virtual no disponible en este momento") sin romper el resto de la aplicación.</w:t>
      </w:r>
    </w:p>
    <w:p>
      <w:pPr>
        <w:pStyle w:val="ListParagraph"/>
        <w:numPr>
          <w:ilvl w:val="0"/>
          <w:numId w:val="6"/>
        </w:numPr>
        <w:spacing w:after="70"/>
      </w:pPr>
      <w:r>
        <w:t xml:space="preserve">No se detecta rostro en la foto: el sistema pide subir otra foto.</w:t>
      </w:r>
    </w:p>
    <w:p>
      <w:pPr>
        <w:spacing w:after="80" w:before="160"/>
      </w:pPr>
      <w:r>
        <w:rPr>
          <w:b/>
          <w:bCs/>
          <w:i/>
          <w:iCs/>
          <w:sz w:val="21"/>
          <w:szCs w:val="21"/>
        </w:rPr>
        <w:t xml:space="preserve">Postcondición</w:t>
      </w:r>
    </w:p>
    <w:p>
      <w:pPr>
        <w:spacing w:after="120"/>
      </w:pPr>
      <w:r>
        <w:t xml:space="preserve">Ninguna (previsualización, no persiste datos).</w:t>
      </w:r>
    </w:p>
    <w:p>
      <w:pPr>
        <w:spacing w:after="200"/>
      </w:pPr>
    </w:p>
    <w:p>
      <w:pPr>
        <w:pStyle w:val="Heading1"/>
        <w:spacing w:after="180" w:before="420"/>
      </w:pPr>
      <w:r>
        <w:t xml:space="preserve">RU-09 — Gestionar turnos (agenda del staff)</w:t>
      </w:r>
    </w:p>
    <w:p>
      <w:pPr>
        <w:spacing w:after="160"/>
      </w:pPr>
      <w:r>
        <w:rPr>
          <w:i/>
          <w:iCs/>
          <w:color w:val="555555"/>
          <w:sz w:val="20"/>
          <w:szCs w:val="20"/>
        </w:rPr>
        <w:t xml:space="preserve">Pantalla(s): Turnos — Agenda del staff (Figura 11)  ·  Casos de uso: UC-20, UC-21, UC-22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30"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solicitante existe.</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registra o gestiona un turno presencialmente.</w:t>
            </w:r>
          </w:p>
        </w:tc>
      </w:tr>
    </w:tbl>
    <w:p>
      <w:pPr>
        <w:spacing w:after="100"/>
      </w:pPr>
    </w:p>
    <w:p>
      <w:pPr>
        <w:spacing w:after="80" w:before="160"/>
      </w:pPr>
      <w:r>
        <w:rPr>
          <w:b/>
          <w:bCs/>
          <w:i/>
          <w:iCs/>
          <w:sz w:val="21"/>
          <w:szCs w:val="21"/>
        </w:rPr>
        <w:t xml:space="preserve">Flujo principal</w:t>
      </w:r>
    </w:p>
    <w:p>
      <w:pPr>
        <w:spacing w:after="70"/>
      </w:pPr>
      <w:r>
        <w:t xml:space="preserve">1. El operador busca con "Buscar por beneficiario…" o hace clic en "+ Registrar turno".</w:t>
      </w:r>
    </w:p>
    <w:p>
      <w:pPr>
        <w:spacing w:after="70"/>
      </w:pPr>
      <w:r>
        <w:t xml:space="preserve">2. Para un turno existente, hace clic en Reprogramar (elige nueva fecha/hora, el turno sigue SCHEDULED) o Cancelar (pide motivo, pasa a CANCELLED).</w:t>
      </w:r>
    </w:p>
    <w:p>
      <w:pPr>
        <w:spacing w:after="70"/>
      </w:pPr>
      <w:r>
        <w:t xml:space="preserve">3. Si el turno está "Pendiente de pago" (autogestión), el operador hace clic en Ver comprobante para revisarlo antes de confirmarlo manualmente si corresponde.</w:t>
      </w:r>
    </w:p>
    <w:p>
      <w:pPr>
        <w:spacing w:after="80" w:before="160"/>
      </w:pPr>
      <w:r>
        <w:rPr>
          <w:b/>
          <w:bCs/>
          <w:i/>
          <w:iCs/>
          <w:sz w:val="21"/>
          <w:szCs w:val="21"/>
        </w:rPr>
        <w:t xml:space="preserve">Postcondición</w:t>
      </w:r>
    </w:p>
    <w:p>
      <w:pPr>
        <w:spacing w:after="120"/>
      </w:pPr>
      <w:r>
        <w:t xml:space="preserve">El turno queda actualizado; los cambios de estado disparan la notificación correspondiente (UC-22).</w:t>
      </w:r>
    </w:p>
    <w:p>
      <w:pPr>
        <w:spacing w:after="200"/>
      </w:pPr>
    </w:p>
    <w:p>
      <w:pPr>
        <w:pStyle w:val="Heading1"/>
        <w:spacing w:after="180" w:before="420"/>
      </w:pPr>
      <w:r>
        <w:t xml:space="preserve">RU-10 — Autogestión del beneficiario: pedir turno y pagar el bono contribución</w:t>
      </w:r>
    </w:p>
    <w:p>
      <w:pPr>
        <w:spacing w:after="160"/>
      </w:pPr>
      <w:r>
        <w:rPr>
          <w:i/>
          <w:iCs/>
          <w:color w:val="555555"/>
          <w:sz w:val="20"/>
          <w:szCs w:val="20"/>
        </w:rPr>
        <w:t xml:space="preserve">Pantalla(s): Autogestión — Mis turnos (Figura 12)  ·  Casos de uso: UC-20, UC-20b, UC-21  ·  Actor(es):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31"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beneficiario tiene una cuenta (rol APPLICANT) y sesión iniciada.</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beneficiario quiere sacar un turno sin ir presencialmente.</w:t>
            </w:r>
          </w:p>
        </w:tc>
      </w:tr>
    </w:tbl>
    <w:p>
      <w:pPr>
        <w:spacing w:after="100"/>
      </w:pPr>
    </w:p>
    <w:p>
      <w:pPr>
        <w:spacing w:after="80" w:before="160"/>
      </w:pPr>
      <w:r>
        <w:rPr>
          <w:b/>
          <w:bCs/>
          <w:i/>
          <w:iCs/>
          <w:sz w:val="21"/>
          <w:szCs w:val="21"/>
        </w:rPr>
        <w:t xml:space="preserve">Flujo principal</w:t>
      </w:r>
    </w:p>
    <w:p>
      <w:pPr>
        <w:spacing w:after="70"/>
      </w:pPr>
      <w:r>
        <w:t xml:space="preserve">1. El beneficiario elige una fecha disponible (paso 1 del stepper "Elegir fecha"). El turno se crea en estado PENDIENTE DE PAGO.</w:t>
      </w:r>
    </w:p>
    <w:p>
      <w:pPr>
        <w:spacing w:after="70"/>
      </w:pPr>
      <w:r>
        <w:t xml:space="preserve">2. El sistema muestra los datos de la cuenta para transferir el bono contribución (paso 2, "Confirmar con bono contribución").</w:t>
      </w:r>
    </w:p>
    <w:p>
      <w:pPr>
        <w:spacing w:after="70"/>
      </w:pPr>
      <w:r>
        <w:t xml:space="preserve">3. El beneficiario hace clic en el recuadro de Comprobante de transferencia, sube el archivo y hace clic en Subir comprobante.</w:t>
      </w:r>
    </w:p>
    <w:p>
      <w:pPr>
        <w:spacing w:after="70"/>
      </w:pPr>
      <w:r>
        <w:t xml:space="preserve">4. El turno pasa a SCHEDULED (paso 3, "Turno confirmado") y dispara la notificación de confirmación (UC-22).</w:t>
      </w:r>
    </w:p>
    <w:p>
      <w:pPr>
        <w:spacing w:after="80" w:before="160"/>
      </w:pPr>
      <w:r>
        <w:rPr>
          <w:b/>
          <w:bCs/>
          <w:i/>
          <w:iCs/>
          <w:sz w:val="21"/>
          <w:szCs w:val="21"/>
        </w:rPr>
        <w:t xml:space="preserve">Flujos alternativos</w:t>
      </w:r>
    </w:p>
    <w:p>
      <w:pPr>
        <w:pStyle w:val="ListParagraph"/>
        <w:numPr>
          <w:ilvl w:val="0"/>
          <w:numId w:val="6"/>
        </w:numPr>
        <w:spacing w:after="70"/>
      </w:pPr>
      <w:r>
        <w:t xml:space="preserve">El beneficiario no sube comprobante: el turno permanece "Pendiente de pago" indefinidamente (no bloquea el resto de la app, pero no se confirma ni notifica).</w:t>
      </w:r>
    </w:p>
    <w:p>
      <w:pPr>
        <w:pStyle w:val="ListParagraph"/>
        <w:numPr>
          <w:ilvl w:val="0"/>
          <w:numId w:val="6"/>
        </w:numPr>
        <w:spacing w:after="70"/>
      </w:pPr>
      <w:r>
        <w:t xml:space="preserve">El beneficiario puede ver su Historial de turnos pasados (asistidos/cancelados) más abajo en la misma pantalla.</w:t>
      </w:r>
    </w:p>
    <w:p>
      <w:pPr>
        <w:spacing w:after="80" w:before="160"/>
      </w:pPr>
      <w:r>
        <w:rPr>
          <w:b/>
          <w:bCs/>
          <w:i/>
          <w:iCs/>
          <w:sz w:val="21"/>
          <w:szCs w:val="21"/>
        </w:rPr>
        <w:t xml:space="preserve">Postcondición</w:t>
      </w:r>
    </w:p>
    <w:p>
      <w:pPr>
        <w:spacing w:after="120"/>
      </w:pPr>
      <w:r>
        <w:t xml:space="preserve">Turno confirmado y visible en la agenda del staff (RU-09) para revisión posterior del comprobante por un operador.</w:t>
      </w:r>
    </w:p>
    <w:p>
      <w:pPr>
        <w:spacing w:after="200"/>
      </w:pPr>
    </w:p>
    <w:p>
      <w:pPr>
        <w:pStyle w:val="Heading1"/>
        <w:spacing w:after="180" w:before="420"/>
      </w:pPr>
      <w:r>
        <w:t xml:space="preserve">RU-11 — Gestionar envíos entre sucursales</w:t>
      </w:r>
    </w:p>
    <w:p>
      <w:pPr>
        <w:spacing w:after="160"/>
      </w:pPr>
      <w:r>
        <w:rPr>
          <w:i/>
          <w:iCs/>
          <w:color w:val="555555"/>
          <w:sz w:val="20"/>
          <w:szCs w:val="20"/>
        </w:rPr>
        <w:t xml:space="preserve">Pantalla(s): Logística — Envíos (Figura 13)  ·  Casos de uso: UC-23, UC-24, UC-25  ·  Actor(es): Operador (+ 17TRACK)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32"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Hay marcos/lotes que trasladar entre sucursales.</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despachar un envío o revisar su estado.</w:t>
            </w:r>
          </w:p>
        </w:tc>
      </w:tr>
    </w:tbl>
    <w:p>
      <w:pPr>
        <w:spacing w:after="100"/>
      </w:pPr>
    </w:p>
    <w:p>
      <w:pPr>
        <w:spacing w:after="80" w:before="160"/>
      </w:pPr>
      <w:r>
        <w:rPr>
          <w:b/>
          <w:bCs/>
          <w:i/>
          <w:iCs/>
          <w:sz w:val="21"/>
          <w:szCs w:val="21"/>
        </w:rPr>
        <w:t xml:space="preserve">Flujo principal</w:t>
      </w:r>
    </w:p>
    <w:p>
      <w:pPr>
        <w:spacing w:after="70"/>
      </w:pPr>
      <w:r>
        <w:t xml:space="preserve">1. El operador hace clic en + Registrar envío, elige origen/destino y los marcos a enviar (UC-23). El sistema registra el envío en 17TRACK.</w:t>
      </w:r>
    </w:p>
    <w:p>
      <w:pPr>
        <w:spacing w:after="70"/>
      </w:pPr>
      <w:r>
        <w:t xml:space="preserve">2. La tabla lista los envíos con su N° de seguimiento, ruta, estado (badge, actualizado automáticamente por el webhook de 17TRACK — UC-24) y última actualización.</w:t>
      </w:r>
    </w:p>
    <w:p>
      <w:pPr>
        <w:spacing w:after="70"/>
      </w:pPr>
      <w:r>
        <w:t xml:space="preserve">3. El operador hace clic en Ver historial para el detalle de eventos de un envío (UC-25).</w:t>
      </w:r>
    </w:p>
    <w:p>
      <w:pPr>
        <w:spacing w:after="80" w:before="160"/>
      </w:pPr>
      <w:r>
        <w:rPr>
          <w:b/>
          <w:bCs/>
          <w:i/>
          <w:iCs/>
          <w:sz w:val="21"/>
          <w:szCs w:val="21"/>
        </w:rPr>
        <w:t xml:space="preserve">Postcondición</w:t>
      </w:r>
    </w:p>
    <w:p>
      <w:pPr>
        <w:spacing w:after="120"/>
      </w:pPr>
      <w:r>
        <w:t xml:space="preserve">El envío queda trazado punta a punta entre sucursales.</w:t>
      </w:r>
    </w:p>
    <w:p>
      <w:pPr>
        <w:spacing w:after="200"/>
      </w:pPr>
    </w:p>
    <w:p>
      <w:pPr>
        <w:pStyle w:val="Heading1"/>
        <w:spacing w:after="180" w:before="420"/>
      </w:pPr>
      <w:r>
        <w:t xml:space="preserve">RU-12 — Consultar el panel de indicadores</w:t>
      </w:r>
    </w:p>
    <w:p>
      <w:pPr>
        <w:spacing w:after="160"/>
      </w:pPr>
      <w:r>
        <w:rPr>
          <w:i/>
          <w:iCs/>
          <w:color w:val="555555"/>
          <w:sz w:val="20"/>
          <w:szCs w:val="20"/>
        </w:rPr>
        <w:t xml:space="preserve">Pantalla(s): Panel de indicadores de impacto (Figura 14)  ·  Casos de uso: UC-26, UC-27  ·  Actor(es): Administrador,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33"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Hay datos históricos de asignaciones/turnos/envíos.</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Se necesita reportar el impacto de la fundación.</w:t>
            </w:r>
          </w:p>
        </w:tc>
      </w:tr>
    </w:tbl>
    <w:p>
      <w:pPr>
        <w:spacing w:after="100"/>
      </w:pPr>
    </w:p>
    <w:p>
      <w:pPr>
        <w:spacing w:after="80" w:before="160"/>
      </w:pPr>
      <w:r>
        <w:rPr>
          <w:b/>
          <w:bCs/>
          <w:i/>
          <w:iCs/>
          <w:sz w:val="21"/>
          <w:szCs w:val="21"/>
        </w:rPr>
        <w:t xml:space="preserve">Flujo principal</w:t>
      </w:r>
    </w:p>
    <w:p>
      <w:pPr>
        <w:spacing w:after="70"/>
      </w:pPr>
      <w:r>
        <w:t xml:space="preserve">1. El sistema muestra los indicadores agregados (Entregas realizadas, Beneficiarios atendidos, Marcos donados, % de turnos con asistencia) y el gráfico de entregas por mes (UC-26).</w:t>
      </w:r>
    </w:p>
    <w:p>
      <w:pPr>
        <w:spacing w:after="70"/>
      </w:pPr>
      <w:r>
        <w:t xml:space="preserve">2. El usuario cambia el selector de período (p. ej. "Último trimestre") y los indicadores se recalculan para ese rango (UC-27).</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RU-13 — Consultar el catálogo público de anteojos de sol</w:t>
      </w:r>
    </w:p>
    <w:p>
      <w:pPr>
        <w:spacing w:after="160"/>
      </w:pPr>
      <w:r>
        <w:rPr>
          <w:i/>
          <w:iCs/>
          <w:color w:val="555555"/>
          <w:sz w:val="20"/>
          <w:szCs w:val="20"/>
        </w:rPr>
        <w:t xml:space="preserve">Pantalla(s): Catálogo público (Figura 15)  ·  Casos de uso: UC-28  ·  Actor(es): Comprador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34" cstate="none"/>
                          <a:srcRect/>
                          <a:stretch>
                            <a:fillRect/>
                          </a:stretch>
                        </pic:blipFill>
                        <pic:spPr bwMode="auto">
                          <a:xfrm>
                            <a:off x="0" y="0"/>
                            <a:ext cx="6276975" cy="158115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Ninguna — acceso público.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Un visitante entra al catálogo desde el sitio de la fundación.</w:t>
            </w:r>
          </w:p>
        </w:tc>
      </w:tr>
    </w:tbl>
    <w:p>
      <w:pPr>
        <w:spacing w:after="100"/>
      </w:pPr>
    </w:p>
    <w:p>
      <w:pPr>
        <w:spacing w:after="80" w:before="160"/>
      </w:pPr>
      <w:r>
        <w:rPr>
          <w:b/>
          <w:bCs/>
          <w:i/>
          <w:iCs/>
          <w:sz w:val="21"/>
          <w:szCs w:val="21"/>
        </w:rPr>
        <w:t xml:space="preserve">Flujo principal</w:t>
      </w:r>
    </w:p>
    <w:p>
      <w:pPr>
        <w:spacing w:after="70"/>
      </w:pPr>
      <w:r>
        <w:t xml:space="preserve">1. El sistema muestra los productos activos con foto, nombre y precio.</w:t>
      </w:r>
    </w:p>
    <w:p>
      <w:pPr>
        <w:spacing w:after="70"/>
      </w:pPr>
      <w:r>
        <w:t xml:space="preserve">2. El visitante interesado se comunica con la fundación para coordinar la compra (registrada por un operador, RU-14) — el catálogo público no procesa pagos online.</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RU-14 — Gestionar stock y registrar ventas del catálogo</w:t>
      </w:r>
    </w:p>
    <w:p>
      <w:pPr>
        <w:spacing w:after="160"/>
      </w:pPr>
      <w:r>
        <w:rPr>
          <w:i/>
          <w:iCs/>
          <w:color w:val="555555"/>
          <w:sz w:val="20"/>
          <w:szCs w:val="20"/>
        </w:rPr>
        <w:t xml:space="preserve">Pantalla(s): Catálogo — Gestión de stock y ventas (Figura 16)  ·  Casos de uso: UC-29, UC-30  ·  Actor(es): Administrador (gestión), Operador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35" cstate="none"/>
                          <a:srcRect/>
                          <a:stretch>
                            <a:fillRect/>
                          </a:stretch>
                        </pic:blipFill>
                        <pic:spPr bwMode="auto">
                          <a:xfrm>
                            <a:off x="0" y="0"/>
                            <a:ext cx="6276975" cy="230505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Sesión de ADMIN u OPERATOR.</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Llega stock nuevo, o se concreta una venta.</w:t>
            </w:r>
          </w:p>
        </w:tc>
      </w:tr>
    </w:tbl>
    <w:p>
      <w:pPr>
        <w:spacing w:after="100"/>
      </w:pPr>
    </w:p>
    <w:p>
      <w:pPr>
        <w:spacing w:after="80" w:before="160"/>
      </w:pPr>
      <w:r>
        <w:rPr>
          <w:b/>
          <w:bCs/>
          <w:i/>
          <w:iCs/>
          <w:sz w:val="21"/>
          <w:szCs w:val="21"/>
        </w:rPr>
        <w:t xml:space="preserve">Flujo principal</w:t>
      </w:r>
    </w:p>
    <w:p>
      <w:pPr>
        <w:spacing w:after="70"/>
      </w:pPr>
      <w:r>
        <w:t xml:space="preserve">1. El administrador hace clic en "+ Nuevo producto" o en Editar sobre uno existente para cargar nombre, precio y stock (UC-30).</w:t>
      </w:r>
    </w:p>
    <w:p>
      <w:pPr>
        <w:spacing w:after="70"/>
      </w:pPr>
      <w:r>
        <w:t xml:space="preserve">2. El operador hace clic en Registrar venta sobre un producto con stock disponible, indica la cantidad; el sistema descuenta el stock (UC-29).</w:t>
      </w:r>
    </w:p>
    <w:p>
      <w:pPr>
        <w:spacing w:after="80" w:before="160"/>
      </w:pPr>
      <w:r>
        <w:rPr>
          <w:b/>
          <w:bCs/>
          <w:i/>
          <w:iCs/>
          <w:sz w:val="21"/>
          <w:szCs w:val="21"/>
        </w:rPr>
        <w:t xml:space="preserve">Flujos alternativos</w:t>
      </w:r>
    </w:p>
    <w:p>
      <w:pPr>
        <w:pStyle w:val="ListParagraph"/>
        <w:numPr>
          <w:ilvl w:val="0"/>
          <w:numId w:val="6"/>
        </w:numPr>
        <w:spacing w:after="70"/>
      </w:pPr>
      <w:r>
        <w:t xml:space="preserve">Stock insuficiente: el sistema rechaza la venta con un mensaje y no descuenta stock.</w:t>
      </w:r>
    </w:p>
    <w:p>
      <w:pPr>
        <w:pStyle w:val="ListParagraph"/>
        <w:numPr>
          <w:ilvl w:val="0"/>
          <w:numId w:val="6"/>
        </w:numPr>
        <w:spacing w:after="70"/>
      </w:pPr>
      <w:r>
        <w:t xml:space="preserve">El administrador puede discontinuar un producto (baja lógica): pasa a estado "Discontinuado" y deja de aparecer en el catálogo público, sin borrarse del historial de ventas.</w:t>
      </w:r>
    </w:p>
    <w:p>
      <w:pPr>
        <w:spacing w:after="80" w:before="160"/>
      </w:pPr>
      <w:r>
        <w:rPr>
          <w:b/>
          <w:bCs/>
          <w:i/>
          <w:iCs/>
          <w:sz w:val="21"/>
          <w:szCs w:val="21"/>
        </w:rPr>
        <w:t xml:space="preserve">Postcondición</w:t>
      </w:r>
    </w:p>
    <w:p>
      <w:pPr>
        <w:spacing w:after="120"/>
      </w:pPr>
      <w:r>
        <w:t xml:space="preserve">Stock y/o catálogo actualizados.</w:t>
      </w:r>
    </w:p>
    <w:p>
      <w:pPr>
        <w:spacing w:after="200"/>
      </w:pPr>
    </w:p>
    <w:p>
      <w:r>
        <w:br w:type="page"/>
      </w:r>
    </w:p>
    <w:p>
      <w:pPr>
        <w:spacing w:before="1000"/>
      </w:pPr>
    </w:p>
    <w:p>
      <w:pPr>
        <w:spacing w:after="200"/>
        <w:jc w:val="center"/>
      </w:pPr>
      <w:r>
        <w:rPr>
          <w:b/>
          <w:bCs/>
          <w:sz w:val="38"/>
          <w:szCs w:val="38"/>
        </w:rPr>
        <w:t xml:space="preserve">Diagramas de Colaboración</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Complementa la Vista de Procesos del Documento de Arquitectura · Proyecto Final UTN-FRT 2026 · ID T045</w:t>
      </w:r>
    </w:p>
    <w:p>
      <w:r>
        <w:br w:type="page"/>
      </w:r>
    </w:p>
    <w:p>
      <w:pPr>
        <w:spacing w:after="140"/>
      </w:pPr>
      <w:r>
        <w:t xml:space="preserve">Notación UML de diagramas de colaboración/comunicación: objetos como cajas, enlaces (asociaciones) entre los que se comunican, y mensajes numerados sobre el enlace en el orden en que ocurren (1, 2, 2.1, 3, …). Son la contracara de los diagramas de secuencia de la Vista de Procesos del Documento de Arquitectura: mismas interacciones, foco en quién habla con quién en lugar de en la línea de tiempo. Se eligieron siete escenarios distintos a los de la Vista de Procesos (salvo la asignación de marco, que se repite por ser el caso más representativo) para no duplicar contenido y cubrir más patrones arquitectónicos.</w:t>
      </w:r>
    </w:p>
    <w:p>
      <w:pPr>
        <w:spacing w:after="140"/>
      </w:pPr>
      <w:r>
        <w:rPr>
          <w:i/>
          <w:iCs/>
        </w:rPr>
        <w:t xml:space="preserve">Cada diagrama fue verificado contra el código real (orchestrators y ServiceHandler del backend), no inferido del diseño en abstracto.</w:t>
      </w:r>
    </w:p>
    <w:p>
      <w:pPr>
        <w:pStyle w:val="Heading1"/>
        <w:spacing w:after="180" w:before="420"/>
      </w:pPr>
      <w:r>
        <w:t xml:space="preserve">CD-1 — Registrar solicitante (UC-01)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019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43" cstate="none"/>
                          <a:srcRect/>
                          <a:stretch>
                            <a:fillRect/>
                          </a:stretch>
                        </pic:blipFill>
                        <pic:spPr bwMode="auto">
                          <a:xfrm>
                            <a:off x="0" y="0"/>
                            <a:ext cx="6276975" cy="2019300"/>
                          </a:xfrm>
                          <a:prstGeom prst="rect">
                            <a:avLst/>
                          </a:prstGeom>
                        </pic:spPr>
                      </pic:pic>
                    </a:graphicData>
                  </a:graphic>
                </wp:inline>
              </w:drawing>
            </w:r>
          </w:p>
        </w:tc>
      </w:tr>
    </w:tbl>
    <w:p>
      <w:pPr>
        <w:spacing w:after="100"/>
      </w:pPr>
    </w:p>
    <w:p>
      <w:pPr>
        <w:spacing w:after="140"/>
      </w:pPr>
      <w:r>
        <w:t xml:space="preserve">Ejemplo de orchestrator "delgado": un único dominio (applicants) está involucrado, así que ApplicantUseCaseHandler no coordina nada — se limita a delegar en ApplicantServiceHandler. Este patrón se repite en la mayoría de las altas simples del sistema (donantes, marcos a mano, productos del catálogo).</w:t>
      </w:r>
    </w:p>
    <w:p>
      <w:pPr>
        <w:pStyle w:val="Heading1"/>
        <w:spacing w:after="180" w:before="420"/>
      </w:pPr>
      <w:r>
        <w:t xml:space="preserve">CD-2 — Iniciar sesión (login)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7526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44" cstate="none"/>
                          <a:srcRect/>
                          <a:stretch>
                            <a:fillRect/>
                          </a:stretch>
                        </pic:blipFill>
                        <pic:spPr bwMode="auto">
                          <a:xfrm>
                            <a:off x="0" y="0"/>
                            <a:ext cx="6276975" cy="1752600"/>
                          </a:xfrm>
                          <a:prstGeom prst="rect">
                            <a:avLst/>
                          </a:prstGeom>
                        </pic:spPr>
                      </pic:pic>
                    </a:graphicData>
                  </a:graphic>
                </wp:inline>
              </w:drawing>
            </w:r>
          </w:p>
        </w:tc>
      </w:tr>
    </w:tbl>
    <w:p>
      <w:pPr>
        <w:spacing w:after="100"/>
      </w:pPr>
    </w:p>
    <w:p>
      <w:pPr>
        <w:spacing w:after="140"/>
      </w:pPr>
      <w:r>
        <w:t xml:space="preserve">Corrige una simplificación excesiva que había quedado en la Vista de Procesos original: el orchestrator (AuthUseCaseHandler) no llama a JwtService ni al repositorio — hace un único passthrough a SecurityServiceHandler.login(dto), que puertas adentro resuelve la búsqueda del usuario, la verificación de la contraseña y la generación del JWT.</w:t>
      </w:r>
    </w:p>
    <w:p>
      <w:pPr>
        <w:pStyle w:val="Heading1"/>
        <w:spacing w:after="180" w:before="420"/>
      </w:pPr>
      <w:r>
        <w:t xml:space="preserve">CD-3 — Cargar y verificar certificado ANSES (UC-03/04/05)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4479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45" cstate="none"/>
                          <a:srcRect/>
                          <a:stretch>
                            <a:fillRect/>
                          </a:stretch>
                        </pic:blipFill>
                        <pic:spPr bwMode="auto">
                          <a:xfrm>
                            <a:off x="0" y="0"/>
                            <a:ext cx="6276975" cy="2447925"/>
                          </a:xfrm>
                          <a:prstGeom prst="rect">
                            <a:avLst/>
                          </a:prstGeom>
                        </pic:spPr>
                      </pic:pic>
                    </a:graphicData>
                  </a:graphic>
                </wp:inline>
              </w:drawing>
            </w:r>
          </w:p>
        </w:tc>
      </w:tr>
    </w:tbl>
    <w:p>
      <w:pPr>
        <w:spacing w:after="100"/>
      </w:pPr>
    </w:p>
    <w:p>
      <w:pPr>
        <w:spacing w:after="140"/>
      </w:pPr>
      <w:r>
        <w:t xml:space="preserve">Un único ServiceHandler (applicants) combinando sus tres colaboradores permitidos: un Helper del mismo dominio (AnsesCertificateHelper, que decodifica el código de barras), un cliente de terceros (R2StorageClient) y su propio repositorio. No hay orchestrator cross-domain porque no hace falta: todo el caso de uso vive en applicants.</w:t>
      </w:r>
    </w:p>
    <w:p>
      <w:pPr>
        <w:pStyle w:val="Heading1"/>
        <w:spacing w:after="180" w:before="420"/>
      </w:pPr>
      <w:r>
        <w:t xml:space="preserve">CD-4 —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288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46" cstate="none"/>
                          <a:srcRect/>
                          <a:stretch>
                            <a:fillRect/>
                          </a:stretch>
                        </pic:blipFill>
                        <pic:spPr bwMode="auto">
                          <a:xfrm>
                            <a:off x="0" y="0"/>
                            <a:ext cx="6276975" cy="2228850"/>
                          </a:xfrm>
                          <a:prstGeom prst="rect">
                            <a:avLst/>
                          </a:prstGeom>
                        </pic:spPr>
                      </pic:pic>
                    </a:graphicData>
                  </a:graphic>
                </wp:inline>
              </w:drawing>
            </w:r>
          </w:p>
        </w:tc>
      </w:tr>
    </w:tbl>
    <w:p>
      <w:pPr>
        <w:spacing w:after="100"/>
      </w:pPr>
    </w:p>
    <w:p>
      <w:pPr>
        <w:spacing w:after="140"/>
      </w:pPr>
      <w:r>
        <w:t xml:space="preserve">El escenario que más dominios cruza del sistema. Los tres mensajes cross-domain (2, 3, 4) salen todos de AssignmentUseCaseHandler; AssignmentServiceHandler (mensaje 5) solo conoce su propio repositorio. Es la contraparte en colaboración del diagrama de secuencia de la sección 4.2 del Documento de Arquitectura.</w:t>
      </w:r>
    </w:p>
    <w:p>
      <w:pPr>
        <w:pStyle w:val="Heading1"/>
        <w:spacing w:after="180" w:before="420"/>
      </w:pPr>
      <w:r>
        <w:t xml:space="preserve">CD-5 — Confirmar turno con comprobante de bono contribución (UC-20b)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1240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47" cstate="none"/>
                          <a:srcRect/>
                          <a:stretch>
                            <a:fillRect/>
                          </a:stretch>
                        </pic:blipFill>
                        <pic:spPr bwMode="auto">
                          <a:xfrm>
                            <a:off x="0" y="0"/>
                            <a:ext cx="6276975" cy="2124075"/>
                          </a:xfrm>
                          <a:prstGeom prst="rect">
                            <a:avLst/>
                          </a:prstGeom>
                        </pic:spPr>
                      </pic:pic>
                    </a:graphicData>
                  </a:graphic>
                </wp:inline>
              </w:drawing>
            </w:r>
          </w:p>
        </w:tc>
      </w:tr>
    </w:tbl>
    <w:p>
      <w:pPr>
        <w:spacing w:after="100"/>
      </w:pPr>
    </w:p>
    <w:p>
      <w:pPr>
        <w:spacing w:after="140"/>
      </w:pPr>
      <w:r>
        <w:t xml:space="preserve">El orchestrator de appointments coordina tres colaboradores tras la carga del comprobante: AppointmentServiceHandler (que sube el archivo a R2 y confirma el turno), ApplicantService (para obtener el email) y NotificationClient (best-effort: un fallo ahí no revierte la confirmación ya persistida).</w:t>
      </w:r>
    </w:p>
    <w:p>
      <w:pPr>
        <w:pStyle w:val="Heading1"/>
        <w:spacing w:after="180" w:before="420"/>
      </w:pPr>
      <w:r>
        <w:t xml:space="preserve">CD-6 —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914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48" cstate="none"/>
                          <a:srcRect/>
                          <a:stretch>
                            <a:fillRect/>
                          </a:stretch>
                        </pic:blipFill>
                        <pic:spPr bwMode="auto">
                          <a:xfrm>
                            <a:off x="0" y="0"/>
                            <a:ext cx="6276975" cy="1914525"/>
                          </a:xfrm>
                          <a:prstGeom prst="rect">
                            <a:avLst/>
                          </a:prstGeom>
                        </pic:spPr>
                      </pic:pic>
                    </a:graphicData>
                  </a:graphic>
                </wp:inline>
              </w:drawing>
            </w:r>
          </w:p>
        </w:tc>
      </w:tr>
    </w:tbl>
    <w:p>
      <w:pPr>
        <w:spacing w:after="100"/>
      </w:pPr>
    </w:p>
    <w:p>
      <w:pPr>
        <w:spacing w:after="140"/>
      </w:pPr>
      <w:r>
        <w:t xml:space="preserve">Único escenario del sistema iniciado por un actor externo (17TRACK) en vez de por un usuario autenticado. TrackingWebhookHelper es un Helper del propio dominio shipments (verifica la firma y parsea el payload), no un cliente de terceros — la llamada saliente a 17TRACK vive en TrackingClient, que no participa de este flujo entrante.</w:t>
      </w:r>
    </w:p>
    <w:p>
      <w:pPr>
        <w:pStyle w:val="Heading1"/>
        <w:spacing w:after="180" w:before="420"/>
      </w:pPr>
      <w:r>
        <w:t xml:space="preserve">CD-7 — Registrar venta con descuento de stock (UC-29)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8097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49" cstate="none"/>
                          <a:srcRect/>
                          <a:stretch>
                            <a:fillRect/>
                          </a:stretch>
                        </pic:blipFill>
                        <pic:spPr bwMode="auto">
                          <a:xfrm>
                            <a:off x="0" y="0"/>
                            <a:ext cx="6276975" cy="1809750"/>
                          </a:xfrm>
                          <a:prstGeom prst="rect">
                            <a:avLst/>
                          </a:prstGeom>
                        </pic:spPr>
                      </pic:pic>
                    </a:graphicData>
                  </a:graphic>
                </wp:inline>
              </w:drawing>
            </w:r>
          </w:p>
        </w:tc>
      </w:tr>
    </w:tbl>
    <w:p>
      <w:pPr>
        <w:spacing w:after="100"/>
      </w:pPr>
    </w:p>
    <w:p>
      <w:pPr>
        <w:spacing w:after="140"/>
      </w:pPr>
      <w:r>
        <w:t xml:space="preserve">Otro caso de orchestrator delgado (dominio único: catalog). La mutación de stock es product.sell(quantity), un método de intención de negocio que lanza InsufficientStockException si no alcanza el stock — nunca un setStock(...) directo, siguiendo la regla de "entidades sin setters" del backend.</w:t>
      </w:r>
    </w:p>
    <w:p>
      <w:pPr>
        <w:pStyle w:val="Heading1"/>
        <w:spacing w:after="180" w:before="420"/>
      </w:pPr>
      <w:r>
        <w:t xml:space="preserve">Notas de trazabilidad</w:t>
      </w:r>
    </w:p>
    <w:p>
      <w:pPr>
        <w:pStyle w:val="ListParagraph"/>
        <w:numPr>
          <w:ilvl w:val="0"/>
          <w:numId w:val="7"/>
        </w:numPr>
        <w:spacing w:after="70"/>
      </w:pPr>
      <w:r>
        <w:t xml:space="preserve">CD-1, CD-3 y CD-7 ilustran el patrón de orchestrator delgado / único dominio.</w:t>
      </w:r>
    </w:p>
    <w:p>
      <w:pPr>
        <w:pStyle w:val="ListParagraph"/>
        <w:numPr>
          <w:ilvl w:val="0"/>
          <w:numId w:val="7"/>
        </w:numPr>
        <w:spacing w:after="70"/>
      </w:pPr>
      <w:r>
        <w:t xml:space="preserve">CD-4 y CD-5 ilustran composición cross-domain, siempre concentrada en el orchestrator.</w:t>
      </w:r>
    </w:p>
    <w:p>
      <w:pPr>
        <w:pStyle w:val="ListParagraph"/>
        <w:numPr>
          <w:ilvl w:val="0"/>
          <w:numId w:val="7"/>
        </w:numPr>
        <w:spacing w:after="70"/>
      </w:pPr>
      <w:r>
        <w:t xml:space="preserve">CD-2 y CD-6 ilustran los dos puntos de entrada no convencionales del sistema: login (primer contacto, sin pertenencia que validar) y el webhook (sin usuario autenticado en absoluto).</w:t>
      </w:r>
    </w:p>
    <w:p>
      <w:pPr>
        <w:pStyle w:val="ListParagraph"/>
        <w:numPr>
          <w:ilvl w:val="0"/>
          <w:numId w:val="7"/>
        </w:numPr>
        <w:spacing w:after="70"/>
      </w:pPr>
      <w:r>
        <w:t xml:space="preserve">La corrección aplicada en CD-2 también se propagó al diagrama de secuencia equivalente en docs/arquitectura/ARQUITECTURA.md (sección 4.1), para que ambos documentos queden consistentes.</w:t>
      </w:r>
    </w:p>
    <w:p>
      <w:r>
        <w:br w:type="page"/>
      </w:r>
    </w:p>
    <w:p>
      <w:pPr>
        <w:spacing w:before="1000"/>
      </w:pPr>
    </w:p>
    <w:p>
      <w:pPr>
        <w:spacing w:after="200"/>
        <w:jc w:val="center"/>
      </w:pPr>
      <w:r>
        <w:rPr>
          <w:b/>
          <w:bCs/>
          <w:sz w:val="38"/>
          <w:szCs w:val="38"/>
        </w:rPr>
        <w:t xml:space="preserve">Modelo de Base de Datos</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PostgreSQL / Flyway · Proyecto Final UTN-FRT 2026 · ID T045</w:t>
      </w:r>
    </w:p>
    <w:p>
      <w:r>
        <w:br w:type="page"/>
      </w:r>
    </w:p>
    <w:p>
      <w:pPr>
        <w:spacing w:after="140"/>
      </w:pPr>
      <w:r>
        <w:t xml:space="preserve">Modelo físico relacional (PostgreSQL), reconstruido a partir de las migraciones Flyway (backend/src/main/resources/db/migration/V1 a V14), que son la única fuente de verdad del schema (Hibernate corre en modo none). A diferencia de la Vista Lógica del Documento de Arquitectura —que modela conceptos de dominio—, este documento describe las tablas, columnas, tipos y restricciones reales tal como existen en la base.</w:t>
      </w:r>
    </w:p>
    <w:p>
      <w:pPr>
        <w:pStyle w:val="Heading1"/>
        <w:spacing w:after="180" w:before="420"/>
      </w:pPr>
      <w:r>
        <w:t xml:space="preserve">1. Convenciones del schema</w:t>
      </w:r>
    </w:p>
    <w:p>
      <w:pPr>
        <w:pStyle w:val="ListParagraph"/>
        <w:numPr>
          <w:ilvl w:val="0"/>
          <w:numId w:val="8"/>
        </w:numPr>
        <w:spacing w:after="70"/>
      </w:pPr>
      <w:r>
        <w:t xml:space="preserve">snake_case; tablas en plural, columnas en singular.</w:t>
      </w:r>
    </w:p>
    <w:p>
      <w:pPr>
        <w:pStyle w:val="ListParagraph"/>
        <w:numPr>
          <w:ilvl w:val="0"/>
          <w:numId w:val="8"/>
        </w:numPr>
        <w:spacing w:after="70"/>
      </w:pPr>
      <w:r>
        <w:t xml:space="preserve">Toda PK se llama id (BIGSERIAL); toda FK &lt;entidad&gt;_id.</w:t>
      </w:r>
    </w:p>
    <w:p>
      <w:pPr>
        <w:pStyle w:val="ListParagraph"/>
        <w:numPr>
          <w:ilvl w:val="0"/>
          <w:numId w:val="8"/>
        </w:numPr>
        <w:spacing w:after="70"/>
      </w:pPr>
      <w:r>
        <w:t xml:space="preserve">Timestamps de instante en _at (TIMESTAMP WITHOUT TIME ZONE); fechas puras en _date (DATE).</w:t>
      </w:r>
    </w:p>
    <w:p>
      <w:pPr>
        <w:pStyle w:val="ListParagraph"/>
        <w:numPr>
          <w:ilvl w:val="0"/>
          <w:numId w:val="8"/>
        </w:numPr>
        <w:spacing w:after="70"/>
      </w:pPr>
      <w:r>
        <w:t xml:space="preserve">Booleanos con prefijo is_/tal cual (identity_validated), NOT NULL + DEFAULT coherente.</w:t>
      </w:r>
    </w:p>
    <w:p>
      <w:pPr>
        <w:pStyle w:val="ListParagraph"/>
        <w:numPr>
          <w:ilvl w:val="0"/>
          <w:numId w:val="8"/>
        </w:numPr>
        <w:spacing w:after="70"/>
      </w:pPr>
      <w:r>
        <w:t xml:space="preserve">Estados como VARCHAR(n) con CHECK explícito — excepto shipment_events.status, que guarda el valor crudo del carrier sin restricción.</w:t>
      </w:r>
    </w:p>
    <w:p>
      <w:pPr>
        <w:pStyle w:val="ListParagraph"/>
        <w:numPr>
          <w:ilvl w:val="0"/>
          <w:numId w:val="8"/>
        </w:numPr>
        <w:spacing w:after="70"/>
      </w:pPr>
      <w:r>
        <w:t xml:space="preserve">Ningún binario se persiste en la base: PDFs e imágenes van a Cloudflare R2; las tablas guardan la key del objeto, nunca una URL.</w:t>
      </w:r>
    </w:p>
    <w:p>
      <w:pPr>
        <w:pStyle w:val="ListParagraph"/>
        <w:numPr>
          <w:ilvl w:val="0"/>
          <w:numId w:val="8"/>
        </w:numPr>
        <w:spacing w:after="70"/>
      </w:pPr>
      <w:r>
        <w:t xml:space="preserve">Las migraciones son append-only: un cambio de schema siempre es una migración nueva, nunca se edita una ya aplicada.</w:t>
      </w:r>
    </w:p>
    <w:p>
      <w:pPr>
        <w:pStyle w:val="Heading1"/>
        <w:spacing w:after="180" w:before="420"/>
      </w:pPr>
      <w:r>
        <w:t xml:space="preserve">2. Diagrama — Núcleo (solicitantes, donaciones e inventario)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50" cstate="none"/>
                          <a:srcRect/>
                          <a:stretch>
                            <a:fillRect/>
                          </a:stretch>
                        </pic:blipFill>
                        <pic:spPr bwMode="auto">
                          <a:xfrm>
                            <a:off x="0" y="0"/>
                            <a:ext cx="6276975" cy="3295650"/>
                          </a:xfrm>
                          <a:prstGeom prst="rect">
                            <a:avLst/>
                          </a:prstGeom>
                        </pic:spPr>
                      </pic:pic>
                    </a:graphicData>
                  </a:graphic>
                </wp:inline>
              </w:drawing>
            </w:r>
          </w:p>
        </w:tc>
      </w:tr>
    </w:tbl>
    <w:p>
      <w:pPr>
        <w:pStyle w:val="Heading1"/>
        <w:spacing w:after="180" w:before="420"/>
      </w:pPr>
      <w:r>
        <w:t xml:space="preserve">3. Diagrama — Turnos, Logística y Catálogo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5527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51" cstate="none"/>
                          <a:srcRect/>
                          <a:stretch>
                            <a:fillRect/>
                          </a:stretch>
                        </pic:blipFill>
                        <pic:spPr bwMode="auto">
                          <a:xfrm>
                            <a:off x="0" y="0"/>
                            <a:ext cx="6276975" cy="2552700"/>
                          </a:xfrm>
                          <a:prstGeom prst="rect">
                            <a:avLst/>
                          </a:prstGeom>
                        </pic:spPr>
                      </pic:pic>
                    </a:graphicData>
                  </a:graphic>
                </wp:inline>
              </w:drawing>
            </w:r>
          </w:p>
        </w:tc>
      </w:tr>
    </w:tbl>
    <w:p>
      <w:pPr>
        <w:spacing w:after="140"/>
      </w:pPr>
      <w:r>
        <w:rPr>
          <w:i/>
          <w:iCs/>
        </w:rPr>
        <w:t xml:space="preserve">Ambos diagramas muestran columnas clave (PK/FK/UNIQUE + atributos distintivos) para que se lean de un vistazo. El detalle completo de cada tabla está en el diccionario de datos (sección 4).</w:t>
      </w:r>
    </w:p>
    <w:p>
      <w:pPr>
        <w:pStyle w:val="Heading1"/>
        <w:spacing w:after="180" w:before="420"/>
      </w:pPr>
      <w:r>
        <w:t xml:space="preserve">4. Diccionario de datos</w:t>
      </w:r>
    </w:p>
    <w:p>
      <w:pPr>
        <w:pStyle w:val="Heading2"/>
        <w:spacing w:after="140" w:before="280"/>
      </w:pPr>
      <w:r>
        <w:t xml:space="preserve">users — V1, alterada en V13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password_hash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hash BCrypt (RNF-03)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role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(ADMIN, OPERATOR, APPLICANT)</w:t>
            </w:r>
          </w:p>
        </w:tc>
        <w:tc>
          <w:tcPr>
            <w:tcW w:type="dxa" w:w="3480"/>
            <w:tcMar>
              <w:top w:type="dxa" w:w="50"/>
              <w:left w:type="dxa" w:w="70"/>
              <w:bottom w:type="dxa" w:w="50"/>
              <w:right w:type="dxa" w:w="70"/>
            </w:tcMar>
            <w:vAlign w:val="center"/>
          </w:tcPr>
          <w:p>
            <w:r>
              <w:rPr>
                <w:b w:val="false"/>
                <w:bCs w:val="false"/>
                <w:sz w:val="17"/>
                <w:szCs w:val="17"/>
              </w:rPr>
              <w:t xml:space="preserve">el 3er valor se agregó en V13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is_active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true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FK → applicants.id, NULL</w:t>
            </w:r>
          </w:p>
        </w:tc>
        <w:tc>
          <w:tcPr>
            <w:tcW w:type="dxa" w:w="3480"/>
            <w:tcMar>
              <w:top w:type="dxa" w:w="50"/>
              <w:left w:type="dxa" w:w="70"/>
              <w:bottom w:type="dxa" w:w="50"/>
              <w:right w:type="dxa" w:w="70"/>
            </w:tcMar>
            <w:vAlign w:val="center"/>
          </w:tcPr>
          <w:p>
            <w:r>
              <w:rPr>
                <w:b w:val="false"/>
                <w:bCs w:val="false"/>
                <w:sz w:val="17"/>
                <w:szCs w:val="17"/>
              </w:rPr>
              <w:t xml:space="preserve">solo se usa para APPLICANT; índice único parcial WHERE applicant_id IS NOT NULL</w:t>
            </w:r>
          </w:p>
        </w:tc>
      </w:tr>
    </w:tbl>
    <w:p>
      <w:pPr>
        <w:pStyle w:val="Heading2"/>
        <w:spacing w:after="140" w:before="280"/>
      </w:pPr>
      <w:r>
        <w:t xml:space="preserve">applicants — V2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first_name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last_name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dni</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VARCHAR(8)</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identidad validada contra RENAPER; inmutable desde la app</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lo completa el sistema al validar ANSES, no lo carga el operador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birth_date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identity_validated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false</w:t>
            </w:r>
          </w:p>
        </w:tc>
        <w:tc>
          <w:tcPr>
            <w:tcW w:type="dxa" w:w="3480"/>
            <w:tcMar>
              <w:top w:type="dxa" w:w="50"/>
              <w:left w:type="dxa" w:w="70"/>
              <w:bottom w:type="dxa" w:w="50"/>
              <w:right w:type="dxa" w:w="70"/>
            </w:tcMar>
            <w:vAlign w:val="center"/>
          </w:tcPr>
          <w:p>
            <w:r>
              <w:rPr>
                <w:b w:val="false"/>
                <w:bCs w:val="false"/>
                <w:sz w:val="17"/>
                <w:szCs w:val="17"/>
              </w:rPr>
              <w:t xml:space="preserve">RF-02/RF-06</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prescriptions — V3, alterada en V6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idx_prescriptions_applicant_id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archivo de la receta en R2 (opcional)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anses_certificates — V7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UNIQUE, FK → applicants.id</w:t>
            </w:r>
          </w:p>
        </w:tc>
        <w:tc>
          <w:tcPr>
            <w:tcW w:type="dxa" w:w="3480"/>
            <w:tcMar>
              <w:top w:type="dxa" w:w="50"/>
              <w:left w:type="dxa" w:w="70"/>
              <w:bottom w:type="dxa" w:w="50"/>
              <w:right w:type="dxa" w:w="70"/>
            </w:tcMar>
            <w:vAlign w:val="center"/>
          </w:tcPr>
          <w:p>
            <w:r>
              <w:rPr>
                <w:b w:val="false"/>
                <w:bCs w:val="false"/>
                <w:sz w:val="17"/>
                <w:szCs w:val="17"/>
              </w:rPr>
              <w:t xml:space="preserve">un solo certificado vigente por solicitante; subir otro lo reemplaza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extraído del código de barras (RF-04)</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transaction_number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resto del código de barras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issue_date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extraída del texto del PDF; RF-05 chequea ≤30 días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PDF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donors — V4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(INDIVIDUAL, ORGANIZATION)</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nombre completo o razón social — una sola columna para no tener dos pares de campos nullable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document_number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frames — V5, alterada en V9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donors.id</w:t>
            </w:r>
          </w:p>
        </w:tc>
        <w:tc>
          <w:tcPr>
            <w:tcW w:type="dxa" w:w="3480"/>
            <w:tcMar>
              <w:top w:type="dxa" w:w="50"/>
              <w:left w:type="dxa" w:w="70"/>
              <w:bottom w:type="dxa" w:w="50"/>
              <w:right w:type="dxa" w:w="70"/>
            </w:tcMar>
            <w:vAlign w:val="center"/>
          </w:tcPr>
          <w:p>
            <w:r>
              <w:rPr>
                <w:b w:val="false"/>
                <w:bCs w:val="false"/>
                <w:sz w:val="17"/>
                <w:szCs w:val="17"/>
              </w:rPr>
              <w:t xml:space="preserve">índice idx_frames_donor_id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seal_code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precinto físico (RF-10)</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(FULL_RIM, SEMI_RIMLESS, RIMLESS)</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material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(ACETATE, METAL, TITANIUM, PLASTIC, OTHER)</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lens_width_mm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bridge_width_mm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temple_length_mm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AVAILABLE, CHECK IN (6 valores)</w:t>
            </w:r>
          </w:p>
        </w:tc>
        <w:tc>
          <w:tcPr>
            <w:tcW w:type="dxa" w:w="3480"/>
            <w:tcMar>
              <w:top w:type="dxa" w:w="50"/>
              <w:left w:type="dxa" w:w="70"/>
              <w:bottom w:type="dxa" w:w="50"/>
              <w:right w:type="dxa" w:w="70"/>
            </w:tcMar>
            <w:vAlign w:val="center"/>
          </w:tcPr>
          <w:p>
            <w:r>
              <w:rPr>
                <w:b w:val="false"/>
                <w:bCs w:val="false"/>
                <w:sz w:val="17"/>
                <w:szCs w:val="17"/>
              </w:rPr>
              <w:t xml:space="preserve">índice idx_frames_status; ciclo de vida completo definido de una vez (append-only)</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foto para el probador virtual (RF-18)</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assignments — V8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idx_assignments_applicant_id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frames.id</w:t>
            </w:r>
          </w:p>
        </w:tc>
        <w:tc>
          <w:tcPr>
            <w:tcW w:type="dxa" w:w="3480"/>
            <w:tcMar>
              <w:top w:type="dxa" w:w="50"/>
              <w:left w:type="dxa" w:w="70"/>
              <w:bottom w:type="dxa" w:w="50"/>
              <w:right w:type="dxa" w:w="70"/>
            </w:tcMar>
            <w:vAlign w:val="center"/>
          </w:tcPr>
          <w:p>
            <w:r>
              <w:rPr>
                <w:b w:val="false"/>
                <w:bCs w:val="false"/>
                <w:sz w:val="17"/>
                <w:szCs w:val="17"/>
              </w:rPr>
              <w:t xml:space="preserve">único condicional: idx_assignments_live_frame WHERE cancelled_at IS NULL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prescription_id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prescriptions.id</w:t>
            </w:r>
          </w:p>
        </w:tc>
        <w:tc>
          <w:tcPr>
            <w:tcW w:type="dxa" w:w="3480"/>
            <w:tcMar>
              <w:top w:type="dxa" w:w="50"/>
              <w:left w:type="dxa" w:w="70"/>
              <w:bottom w:type="dxa" w:w="50"/>
              <w:right w:type="dxa" w:w="70"/>
            </w:tcMar>
            <w:vAlign w:val="center"/>
          </w:tcPr>
          <w:p>
            <w:r>
              <w:rPr>
                <w:b w:val="false"/>
                <w:bCs w:val="false"/>
                <w:sz w:val="17"/>
                <w:szCs w:val="17"/>
              </w:rPr>
              <w:t xml:space="preserve">la receta viaja con el marco a la óptica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sent_to_optician_at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returned_at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No hay columna de "estado": cada hito es un timestamp, y eso ES la trazabilidad (RF-16). La fuente de verdad de "dónde está el marco" es frames.status, no una máquina de estados duplicada acá.</w:t>
      </w:r>
    </w:p>
    <w:p>
      <w:pPr>
        <w:pStyle w:val="Heading2"/>
        <w:spacing w:after="140" w:before="280"/>
      </w:pPr>
      <w:r>
        <w:t xml:space="preserve">appointments — V10, alterada en V14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idx_appointments_applicant_id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NULL, FK → assignments.id</w:t>
            </w:r>
          </w:p>
        </w:tc>
        <w:tc>
          <w:tcPr>
            <w:tcW w:type="dxa" w:w="3480"/>
            <w:tcMar>
              <w:top w:type="dxa" w:w="50"/>
              <w:left w:type="dxa" w:w="70"/>
              <w:bottom w:type="dxa" w:w="50"/>
              <w:right w:type="dxa" w:w="70"/>
            </w:tcMar>
            <w:vAlign w:val="center"/>
          </w:tcPr>
          <w:p>
            <w:r>
              <w:rPr>
                <w:b w:val="false"/>
                <w:bCs w:val="false"/>
                <w:sz w:val="17"/>
                <w:szCs w:val="17"/>
              </w:rPr>
              <w:t xml:space="preserve">turno de retiro de un par puntual; NULL = atención general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scheduled_at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índice idx_appointments_scheduled_at</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PENDING_PAYMENT, CHECK IN (5 valores)</w:t>
            </w:r>
          </w:p>
        </w:tc>
        <w:tc>
          <w:tcPr>
            <w:tcW w:type="dxa" w:w="3480"/>
            <w:tcMar>
              <w:top w:type="dxa" w:w="50"/>
              <w:left w:type="dxa" w:w="70"/>
              <w:bottom w:type="dxa" w:w="50"/>
              <w:right w:type="dxa" w:w="70"/>
            </w:tcMar>
            <w:vAlign w:val="center"/>
          </w:tcPr>
          <w:p>
            <w:r>
              <w:rPr>
                <w:b w:val="false"/>
                <w:bCs w:val="false"/>
                <w:sz w:val="17"/>
                <w:szCs w:val="17"/>
              </w:rPr>
              <w:t xml:space="preserve">el default cambió de SCHEDULED a PENDING_PAYMENT en V14 (bono contribución)</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comprobante de la transferencia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A diferencia de assignments, acá sí hay una columna de estado: un turno es agenda, no trazabilidad de un circuito — importa en qué quedó, no cada reprogramación fila por fila.</w:t>
      </w:r>
    </w:p>
    <w:p>
      <w:pPr>
        <w:pStyle w:val="Heading2"/>
        <w:spacing w:after="140" w:before="280"/>
      </w:pPr>
      <w:r>
        <w:t xml:space="preserve">shipments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origin_branch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destination_branch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tracking_number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UNIQUE, NULL</w:t>
            </w:r>
          </w:p>
        </w:tc>
        <w:tc>
          <w:tcPr>
            <w:tcW w:type="dxa" w:w="3480"/>
            <w:tcMar>
              <w:top w:type="dxa" w:w="50"/>
              <w:left w:type="dxa" w:w="70"/>
              <w:bottom w:type="dxa" w:w="50"/>
              <w:right w:type="dxa" w:w="70"/>
            </w:tcMar>
            <w:vAlign w:val="center"/>
          </w:tcPr>
          <w:p>
            <w:r>
              <w:rPr>
                <w:b w:val="false"/>
                <w:bCs w:val="false"/>
                <w:sz w:val="17"/>
                <w:szCs w:val="17"/>
              </w:rPr>
              <w:t xml:space="preserve">lo asigna Vía Cargo al despachar; NULL mientras se arma el paquete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DEFAULT PENDING, CHECK IN (11 valores)</w:t>
            </w:r>
          </w:p>
        </w:tc>
        <w:tc>
          <w:tcPr>
            <w:tcW w:type="dxa" w:w="3480"/>
            <w:tcMar>
              <w:top w:type="dxa" w:w="50"/>
              <w:left w:type="dxa" w:w="70"/>
              <w:bottom w:type="dxa" w:w="50"/>
              <w:right w:type="dxa" w:w="70"/>
            </w:tcMar>
            <w:vAlign w:val="center"/>
          </w:tcPr>
          <w:p>
            <w:r>
              <w:rPr>
                <w:b w:val="false"/>
                <w:bCs w:val="false"/>
                <w:sz w:val="17"/>
                <w:szCs w:val="17"/>
              </w:rPr>
              <w:t xml:space="preserve">vocabulario de estados de 17TRACK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dispatched_at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El estado del marco no se toca al viajar: el inventario (frames.status) dice qué se puede hacer con el marco, no dónde está parado físicamente — misma decisión que en assignments.</w:t>
      </w:r>
    </w:p>
    <w:p>
      <w:pPr>
        <w:pStyle w:val="Heading2"/>
        <w:spacing w:after="140" w:before="280"/>
      </w:pPr>
      <w:r>
        <w:t xml:space="preserve">shipment_frames — V11 (tabla de asociación N:M)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shipments.id</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frames.id</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Sin id propio: la clave primaria es el par (shipment_id, frame_id), el conjunto de marcos que viaja en un mismo paquete.</w:t>
      </w:r>
    </w:p>
    <w:p>
      <w:pPr>
        <w:pStyle w:val="Heading2"/>
        <w:spacing w:after="140" w:before="280"/>
      </w:pPr>
      <w:r>
        <w:t xml:space="preserve">shipment_events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shipments.id</w:t>
            </w:r>
          </w:p>
        </w:tc>
        <w:tc>
          <w:tcPr>
            <w:tcW w:type="dxa" w:w="3480"/>
            <w:tcMar>
              <w:top w:type="dxa" w:w="50"/>
              <w:left w:type="dxa" w:w="70"/>
              <w:bottom w:type="dxa" w:w="50"/>
              <w:right w:type="dxa" w:w="70"/>
            </w:tcMar>
            <w:vAlign w:val="center"/>
          </w:tcPr>
          <w:p>
            <w:r>
              <w:rPr>
                <w:b w:val="false"/>
                <w:bCs w:val="false"/>
                <w:sz w:val="17"/>
                <w:szCs w:val="17"/>
              </w:rPr>
              <w:t xml:space="preserve">índice idx_shipment_events_shipment_id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VARCHAR(40)</w:t>
            </w:r>
          </w:p>
        </w:tc>
        <w:tc>
          <w:tcPr>
            <w:tcW w:type="dxa" w:w="3200"/>
            <w:tcMar>
              <w:top w:type="dxa" w:w="50"/>
              <w:left w:type="dxa" w:w="70"/>
              <w:bottom w:type="dxa" w:w="50"/>
              <w:right w:type="dxa" w:w="70"/>
            </w:tcMar>
            <w:vAlign w:val="center"/>
          </w:tcPr>
          <w:p>
            <w:r>
              <w:rPr>
                <w:b w:val="false"/>
                <w:bCs w:val="false"/>
                <w:sz w:val="17"/>
                <w:szCs w:val="17"/>
              </w:rPr>
              <w:t xml:space="preserve">NOT NULL, sin CHECK</w:t>
            </w:r>
          </w:p>
        </w:tc>
        <w:tc>
          <w:tcPr>
            <w:tcW w:type="dxa" w:w="3480"/>
            <w:tcMar>
              <w:top w:type="dxa" w:w="50"/>
              <w:left w:type="dxa" w:w="70"/>
              <w:bottom w:type="dxa" w:w="50"/>
              <w:right w:type="dxa" w:w="70"/>
            </w:tcMar>
            <w:vAlign w:val="center"/>
          </w:tcPr>
          <w:p>
            <w:r>
              <w:rPr>
                <w:b w:val="false"/>
                <w:bCs w:val="false"/>
                <w:sz w:val="17"/>
                <w:szCs w:val="17"/>
              </w:rPr>
              <w:t xml:space="preserve">valor crudo del carrier: un estado nuevo de 17TRACK no puede romper el webhook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location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occurred_at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cuándo llegó el webhook (distinto de cuándo ocurrió el evento)</w:t>
            </w:r>
          </w:p>
        </w:tc>
      </w:tr>
    </w:tbl>
    <w:p>
      <w:pPr>
        <w:pStyle w:val="Heading2"/>
        <w:spacing w:after="140" w:before="280"/>
      </w:pPr>
      <w:r>
        <w:t xml:space="preserve">products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stock_quantity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DEFAULT 0,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ACTIVE, CHECK IN (ACTIVE, DISCONTINUED)</w:t>
            </w:r>
          </w:p>
        </w:tc>
        <w:tc>
          <w:tcPr>
            <w:tcW w:type="dxa" w:w="3480"/>
            <w:tcMar>
              <w:top w:type="dxa" w:w="50"/>
              <w:left w:type="dxa" w:w="70"/>
              <w:bottom w:type="dxa" w:w="50"/>
              <w:right w:type="dxa" w:w="70"/>
            </w:tcMar>
            <w:vAlign w:val="center"/>
          </w:tcPr>
          <w:p>
            <w:r>
              <w:rPr>
                <w:b w:val="false"/>
                <w:bCs w:val="false"/>
                <w:sz w:val="17"/>
                <w:szCs w:val="17"/>
              </w:rPr>
              <w:t xml:space="preserve">baja lógica, nunca se borra la fila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Dominio autocontenido, sin relación con frames/donors: acá se vende para financiar la fundación, no se dona.</w:t>
      </w:r>
    </w:p>
    <w:p>
      <w:pPr>
        <w:pStyle w:val="Heading2"/>
        <w:spacing w:after="140" w:before="280"/>
      </w:pPr>
      <w:r>
        <w:t xml:space="preserve">product_sales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product_id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products.id</w:t>
            </w:r>
          </w:p>
        </w:tc>
        <w:tc>
          <w:tcPr>
            <w:tcW w:type="dxa" w:w="3480"/>
            <w:tcMar>
              <w:top w:type="dxa" w:w="50"/>
              <w:left w:type="dxa" w:w="70"/>
              <w:bottom w:type="dxa" w:w="50"/>
              <w:right w:type="dxa" w:w="70"/>
            </w:tcMar>
            <w:vAlign w:val="center"/>
          </w:tcPr>
          <w:p>
            <w:r>
              <w:rPr>
                <w:b w:val="false"/>
                <w:bCs w:val="false"/>
                <w:sz w:val="17"/>
                <w:szCs w:val="17"/>
              </w:rPr>
              <w:t xml:space="preserve">índice idx_product_sales_product_id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unit_price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copia el precio al momento de vender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total_amount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buyer_name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sold_at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unit_price no se recalcula desde products.price: si el precio cambia después, no debe reescribir ventas ya cerradas.</w:t>
      </w:r>
    </w:p>
    <w:p>
      <w:pPr>
        <w:pStyle w:val="Heading1"/>
        <w:spacing w:after="180" w:before="420"/>
      </w:pPr>
      <w:r>
        <w:t xml:space="preserve">5. Índices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3880"/>
      </w:tblGrid>
      <w:tr>
        <w:trPr>
          <w:tblHeader/>
        </w:trPr>
        <w:tc>
          <w:tcPr>
            <w:tcW w:type="dxa" w:w="2600"/>
            <w:shd w:fill="D9D9D9" w:color="auto" w:val="clear"/>
            <w:tcMar>
              <w:top w:type="dxa" w:w="50"/>
              <w:left w:type="dxa" w:w="70"/>
              <w:bottom w:type="dxa" w:w="50"/>
              <w:right w:type="dxa" w:w="70"/>
            </w:tcMar>
            <w:vAlign w:val="center"/>
          </w:tcPr>
          <w:p>
            <w:r>
              <w:rPr>
                <w:b/>
                <w:bCs/>
                <w:sz w:val="17"/>
                <w:szCs w:val="17"/>
              </w:rPr>
              <w:t xml:space="preserve">Índice</w:t>
            </w:r>
          </w:p>
        </w:tc>
        <w:tc>
          <w:tcPr>
            <w:tcW w:type="dxa" w:w="1800"/>
            <w:shd w:fill="D9D9D9" w:color="auto" w:val="clear"/>
            <w:tcMar>
              <w:top w:type="dxa" w:w="50"/>
              <w:left w:type="dxa" w:w="70"/>
              <w:bottom w:type="dxa" w:w="50"/>
              <w:right w:type="dxa" w:w="70"/>
            </w:tcMar>
            <w:vAlign w:val="center"/>
          </w:tcPr>
          <w:p>
            <w:r>
              <w:rPr>
                <w:b/>
                <w:bCs/>
                <w:sz w:val="17"/>
                <w:szCs w:val="17"/>
              </w:rPr>
              <w:t xml:space="preserve">Tabla</w:t>
            </w:r>
          </w:p>
        </w:tc>
        <w:tc>
          <w:tcPr>
            <w:tcW w:type="dxa" w:w="1800"/>
            <w:shd w:fill="D9D9D9" w:color="auto" w:val="clear"/>
            <w:tcMar>
              <w:top w:type="dxa" w:w="50"/>
              <w:left w:type="dxa" w:w="70"/>
              <w:bottom w:type="dxa" w:w="50"/>
              <w:right w:type="dxa" w:w="70"/>
            </w:tcMar>
            <w:vAlign w:val="center"/>
          </w:tcPr>
          <w:p>
            <w:r>
              <w:rPr>
                <w:b/>
                <w:bCs/>
                <w:sz w:val="17"/>
                <w:szCs w:val="17"/>
              </w:rPr>
              <w:t xml:space="preserve">Columnas</w:t>
            </w:r>
          </w:p>
        </w:tc>
        <w:tc>
          <w:tcPr>
            <w:tcW w:type="dxa" w:w="3880"/>
            <w:shd w:fill="D9D9D9" w:color="auto" w:val="clear"/>
            <w:tcMar>
              <w:top w:type="dxa" w:w="50"/>
              <w:left w:type="dxa" w:w="70"/>
              <w:bottom w:type="dxa" w:w="50"/>
              <w:right w:type="dxa" w:w="70"/>
            </w:tcMar>
            <w:vAlign w:val="center"/>
          </w:tcPr>
          <w:p>
            <w:r>
              <w:rPr>
                <w:b/>
                <w:bCs/>
                <w:sz w:val="17"/>
                <w:szCs w:val="17"/>
              </w:rPr>
              <w:t xml:space="preserve">Tipo</w:t>
            </w:r>
          </w:p>
        </w:tc>
      </w:tr>
      <w:tr>
        <w:tc>
          <w:tcPr>
            <w:tcW w:type="dxa" w:w="2600"/>
            <w:tcMar>
              <w:top w:type="dxa" w:w="50"/>
              <w:left w:type="dxa" w:w="70"/>
              <w:bottom w:type="dxa" w:w="50"/>
              <w:right w:type="dxa" w:w="70"/>
            </w:tcMar>
            <w:vAlign w:val="center"/>
          </w:tcPr>
          <w:p>
            <w:r>
              <w:rPr>
                <w:b w:val="false"/>
                <w:bCs w:val="false"/>
                <w:sz w:val="17"/>
                <w:szCs w:val="17"/>
              </w:rPr>
              <w:t xml:space="preserve">idx_prescriptions_applicant_id</w:t>
            </w:r>
          </w:p>
        </w:tc>
        <w:tc>
          <w:tcPr>
            <w:tcW w:type="dxa" w:w="1800"/>
            <w:tcMar>
              <w:top w:type="dxa" w:w="50"/>
              <w:left w:type="dxa" w:w="70"/>
              <w:bottom w:type="dxa" w:w="50"/>
              <w:right w:type="dxa" w:w="70"/>
            </w:tcMar>
            <w:vAlign w:val="center"/>
          </w:tcPr>
          <w:p>
            <w:r>
              <w:rPr>
                <w:b w:val="false"/>
                <w:bCs w:val="false"/>
                <w:sz w:val="17"/>
                <w:szCs w:val="17"/>
              </w:rPr>
              <w:t xml:space="preserve">prescriptions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idx_frames_donor_id</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donor_id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idx_frames_status</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status</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idx_assignments_live_frame</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frame_id</w:t>
            </w:r>
          </w:p>
        </w:tc>
        <w:tc>
          <w:tcPr>
            <w:tcW w:type="dxa" w:w="3880"/>
            <w:tcMar>
              <w:top w:type="dxa" w:w="50"/>
              <w:left w:type="dxa" w:w="70"/>
              <w:bottom w:type="dxa" w:w="50"/>
              <w:right w:type="dxa" w:w="70"/>
            </w:tcMar>
            <w:vAlign w:val="center"/>
          </w:tcPr>
          <w:p>
            <w:r>
              <w:rPr>
                <w:b w:val="false"/>
                <w:bCs w:val="false"/>
                <w:sz w:val="17"/>
                <w:szCs w:val="17"/>
              </w:rPr>
              <w:t xml:space="preserve">único, parcial (WHERE cancelled_at IS NULL)</w:t>
            </w:r>
          </w:p>
        </w:tc>
      </w:tr>
      <w:tr>
        <w:tc>
          <w:tcPr>
            <w:tcW w:type="dxa" w:w="2600"/>
            <w:tcMar>
              <w:top w:type="dxa" w:w="50"/>
              <w:left w:type="dxa" w:w="70"/>
              <w:bottom w:type="dxa" w:w="50"/>
              <w:right w:type="dxa" w:w="70"/>
            </w:tcMar>
            <w:vAlign w:val="center"/>
          </w:tcPr>
          <w:p>
            <w:r>
              <w:rPr>
                <w:b w:val="false"/>
                <w:bCs w:val="false"/>
                <w:sz w:val="17"/>
                <w:szCs w:val="17"/>
              </w:rPr>
              <w:t xml:space="preserve">idx_assignments_applicant_id</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idx_appointments_applicant_id</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idx_appointments_scheduled_at</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scheduled_at</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idx_shipment_events_shipment_id</w:t>
            </w:r>
          </w:p>
        </w:tc>
        <w:tc>
          <w:tcPr>
            <w:tcW w:type="dxa" w:w="1800"/>
            <w:tcMar>
              <w:top w:type="dxa" w:w="50"/>
              <w:left w:type="dxa" w:w="70"/>
              <w:bottom w:type="dxa" w:w="50"/>
              <w:right w:type="dxa" w:w="70"/>
            </w:tcMar>
            <w:vAlign w:val="center"/>
          </w:tcPr>
          <w:p>
            <w:r>
              <w:rPr>
                <w:b w:val="false"/>
                <w:bCs w:val="false"/>
                <w:sz w:val="17"/>
                <w:szCs w:val="17"/>
              </w:rPr>
              <w:t xml:space="preserve">shipment_events</w:t>
            </w:r>
          </w:p>
        </w:tc>
        <w:tc>
          <w:tcPr>
            <w:tcW w:type="dxa" w:w="1800"/>
            <w:tcMar>
              <w:top w:type="dxa" w:w="50"/>
              <w:left w:type="dxa" w:w="70"/>
              <w:bottom w:type="dxa" w:w="50"/>
              <w:right w:type="dxa" w:w="70"/>
            </w:tcMar>
            <w:vAlign w:val="center"/>
          </w:tcPr>
          <w:p>
            <w:r>
              <w:rPr>
                <w:b w:val="false"/>
                <w:bCs w:val="false"/>
                <w:sz w:val="17"/>
                <w:szCs w:val="17"/>
              </w:rPr>
              <w:t xml:space="preserve">shipment_id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idx_product_sales_product_id</w:t>
            </w:r>
          </w:p>
        </w:tc>
        <w:tc>
          <w:tcPr>
            <w:tcW w:type="dxa" w:w="1800"/>
            <w:tcMar>
              <w:top w:type="dxa" w:w="50"/>
              <w:left w:type="dxa" w:w="70"/>
              <w:bottom w:type="dxa" w:w="50"/>
              <w:right w:type="dxa" w:w="70"/>
            </w:tcMar>
            <w:vAlign w:val="center"/>
          </w:tcPr>
          <w:p>
            <w:r>
              <w:rPr>
                <w:b w:val="false"/>
                <w:bCs w:val="false"/>
                <w:sz w:val="17"/>
                <w:szCs w:val="17"/>
              </w:rPr>
              <w:t xml:space="preserve">product_sales</w:t>
            </w:r>
          </w:p>
        </w:tc>
        <w:tc>
          <w:tcPr>
            <w:tcW w:type="dxa" w:w="1800"/>
            <w:tcMar>
              <w:top w:type="dxa" w:w="50"/>
              <w:left w:type="dxa" w:w="70"/>
              <w:bottom w:type="dxa" w:w="50"/>
              <w:right w:type="dxa" w:w="70"/>
            </w:tcMar>
            <w:vAlign w:val="center"/>
          </w:tcPr>
          <w:p>
            <w:r>
              <w:rPr>
                <w:b w:val="false"/>
                <w:bCs w:val="false"/>
                <w:sz w:val="17"/>
                <w:szCs w:val="17"/>
              </w:rPr>
              <w:t xml:space="preserve">product_id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idx_users_applicant_id</w:t>
            </w:r>
          </w:p>
        </w:tc>
        <w:tc>
          <w:tcPr>
            <w:tcW w:type="dxa" w:w="1800"/>
            <w:tcMar>
              <w:top w:type="dxa" w:w="50"/>
              <w:left w:type="dxa" w:w="70"/>
              <w:bottom w:type="dxa" w:w="50"/>
              <w:right w:type="dxa" w:w="70"/>
            </w:tcMar>
            <w:vAlign w:val="center"/>
          </w:tcPr>
          <w:p>
            <w:r>
              <w:rPr>
                <w:b w:val="false"/>
                <w:bCs w:val="false"/>
                <w:sz w:val="17"/>
                <w:szCs w:val="17"/>
              </w:rPr>
              <w:t xml:space="preserve">users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único, parcial (WHERE applicant_id IS NOT NULL)</w:t>
            </w:r>
          </w:p>
        </w:tc>
      </w:tr>
    </w:tbl>
    <w:p>
      <w:pPr>
        <w:pStyle w:val="Heading1"/>
        <w:spacing w:after="180" w:before="420"/>
      </w:pPr>
      <w:r>
        <w:t xml:space="preserve">6. Decisiones de diseño transversales</w:t>
      </w:r>
    </w:p>
    <w:p>
      <w:pPr>
        <w:pStyle w:val="ListParagraph"/>
        <w:numPr>
          <w:ilvl w:val="0"/>
          <w:numId w:val="8"/>
        </w:numPr>
        <w:spacing w:after="70"/>
      </w:pPr>
      <w:r>
        <w:t xml:space="preserve">Nunca se persisten binarios: toda tabla con un archivo asociado guarda *_key / *_content_type / *_original_name, nunca el contenido ni una URL (RNF-07).</w:t>
      </w:r>
    </w:p>
    <w:p>
      <w:pPr>
        <w:pStyle w:val="ListParagraph"/>
        <w:numPr>
          <w:ilvl w:val="0"/>
          <w:numId w:val="8"/>
        </w:numPr>
        <w:spacing w:after="70"/>
      </w:pPr>
      <w:r>
        <w:t xml:space="preserve">Índices únicos condicionales (WHERE ... IS NULL) resuelven invariantes de negocio a nivel de base de datos en vez de una consulta previa desde la aplicación, que sería una condición de carrera entre dos operadores concurrentes (assignments.frame_id, users.applicant_id).</w:t>
      </w:r>
    </w:p>
    <w:p>
      <w:pPr>
        <w:pStyle w:val="ListParagraph"/>
        <w:numPr>
          <w:ilvl w:val="0"/>
          <w:numId w:val="8"/>
        </w:numPr>
        <w:spacing w:after="70"/>
      </w:pPr>
      <w:r>
        <w:t xml:space="preserve">Trazabilidad como timestamps, no como estado en assignments: cada hito del circuito es una columna de fecha; el estado "actual" se deriva, no se guarda dos veces.</w:t>
      </w:r>
    </w:p>
    <w:p>
      <w:pPr>
        <w:pStyle w:val="ListParagraph"/>
        <w:numPr>
          <w:ilvl w:val="0"/>
          <w:numId w:val="8"/>
        </w:numPr>
        <w:spacing w:after="70"/>
      </w:pPr>
      <w:r>
        <w:t xml:space="preserve">CHECK explícito para vocabularios cerrados y propios (frames.status, appointments.status, products.status) vs. sin CHECK para vocabulario de un tercero (shipment_events.status), porque ese valor lo define 17TRACK y puede agregar códigos sin previo aviso.</w:t>
      </w:r>
    </w:p>
    <w:p>
      <w:pPr>
        <w:pStyle w:val="ListParagraph"/>
        <w:numPr>
          <w:ilvl w:val="0"/>
          <w:numId w:val="8"/>
        </w:numPr>
        <w:spacing w:after="70"/>
      </w:pPr>
      <w:r>
        <w:t xml:space="preserve">Migraciones append-only: los ALTER TABLE de V6, V9, V13 y V14 agregan columnas o reemplazan un CHECK completo (DROP CONSTRAINT + ADD CONSTRAINT), nunca editan una migración ya aplicada.</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Banco de Anteojos — TP Análisis y Diseño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2026-09-26T17:10:33.920Z</dcterms:created>
  <dcterms:modified xsi:type="dcterms:W3CDTF">2026-09-26T17:10:33.920Z</dcterms:modified>
</cp:coreProperties>
</file>

<file path=docProps/custom.xml><?xml version="1.0" encoding="utf-8"?>
<Properties xmlns="http://schemas.openxmlformats.org/officeDocument/2006/custom-properties" xmlns:vt="http://schemas.openxmlformats.org/officeDocument/2006/docPropsVTypes"/>
</file>