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Dominio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Diagrama de clases conceptual: los conceptos del dominio del negocio, sus atributos y sus asociaciones, tal como los describe el SRS — sin claves primarias/foráneas, tipos de columna ni ningún otro detalle de implementación (eso corresponde al Modelo de Base de Datos). Es el artefacto de análisis que precede al diseño; la Vista Lógica del Documento de Arquitectura retoma estos mismos conceptos ya en el contexto de la solución de software.</w:t>
      </w:r>
    </w:p>
    <w:p>
      <w:pPr>
        <w:pStyle w:val="Heading1"/>
        <w:spacing w:after="180" w:before="420"/>
      </w:pPr>
      <w:r>
        <w:t xml:space="preserve">Diagrama</w:t>
      </w:r>
    </w:p>
    <w:p>
      <w:pPr>
        <w:spacing w:after="140"/>
      </w:pPr>
      <w:r>
        <w:rPr>
          <w:i/>
          <w:iCs/>
        </w:rPr>
        <w:t xml:space="preserve">Las 13 clases del dominio y sus 13 asociaciones, todas en un único diagrama (ninguna relación queda relegada a una nota de texto).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21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Enumeraciones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80"/>
        <w:gridCol w:w="180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Enumeración</w:t>
            </w:r>
          </w:p>
        </w:tc>
        <w:tc>
          <w:tcPr>
            <w:tcW w:type="dxa" w:w="63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Usada en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OPERATOR, APPLICANT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User.role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DonorType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INDIVIDUAL, ORGANIZATION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Donor.donorType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FULL_RIM, SEMI_RIMLESS, RIMLESS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Frame.frameType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FrameMaterial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ACETATE, METAL, TITANIUM, PLASTIC, OTHER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Frame.material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AVAILABLE, ASSIGNED, AT_OPTICIAN, READY, DELIVERED, DISCARDED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AppointmentStatus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PENDING_PAYMENT, SCHEDULED, COMPLETED, MISSED, CANCELLED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ShipmentStatus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CANCELLED, REGISTERED, INFO_RECEIVED, IN_TRANSIT, AVAILABLE_FOR_PICKUP, OUT_FOR_DELIVERY, DELIVERED, DELIVERY_FAILURE, EXCEPTION, EXPIRED, NOT_FOUND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ACTIVE, DISCONTINUED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Product.status</w:t>
            </w:r>
          </w:p>
        </w:tc>
      </w:tr>
    </w:tbl>
    <w:p>
      <w:pPr>
        <w:spacing w:after="140"/>
      </w:pPr>
      <w:r>
        <w:rPr>
          <w:i/>
          <w:iCs/>
        </w:rPr>
        <w:t xml:space="preserve">ShipmentEvent.status es la única excepción: es texto libre, no una enumeración cerrada, porque transporta el valor crudo que informa 17TRACK (un carrier externo puede agregar estados sin previo aviso).</w:t>
      </w:r>
    </w:p>
    <w:p>
      <w:pPr>
        <w:pStyle w:val="Heading1"/>
        <w:spacing w:after="180" w:before="420"/>
      </w:pPr>
      <w:r>
        <w:t xml:space="preserve">Asociaciones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Asociación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Multiplicidad</w:t>
            </w:r>
          </w:p>
        </w:tc>
        <w:tc>
          <w:tcPr>
            <w:tcW w:type="dxa" w:w="58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Rol / significado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— Applicant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beneficiario puede autogestionarse con un login propio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Prescription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solicitante puede tener varias recetas a lo largo del tiempo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AnsesCertificate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único certificado vigente por solicitante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Appointment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turnos del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marcos asignados al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Prescription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receta con la que se hizo el match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 — Frame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marcos que donó ese donante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marco tiene a lo sumo una asignación activa a la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de retiro de un par puntual (opcional; null = atención general)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Shipment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0..*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envío agrupa varios marcos; un marco puede viajar más de una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 — ShipmentEvent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eventos del carrier para ese envío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— Sale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ventas de ese producto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Sale — Comprador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0..* — 1 (conceptual)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comprador navega el catálogo y decide la compra; el Operador es quien la registra</w:t>
            </w:r>
          </w:p>
        </w:tc>
      </w:tr>
    </w:tbl>
    <w:p>
      <w:pPr>
        <w:pStyle w:val="Heading1"/>
        <w:spacing w:after="180" w:before="420"/>
      </w:pPr>
      <w:r>
        <w:t xml:space="preserve">Conceptos deliberadamente sin relación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Product/Sale (catálogo de venta) no se relaciona con Donor ni Frame: son anteojos de sol para financiar la fundación, no marcos donados para beneficiarios — mezclar ambos inventarios sería un acoplamiento accidental.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Comprador se dibuja con línea punteada porque es una asociación conceptual, no una FK persistida: el comprador no tiene cuenta ni login (consulta el catálogo público, RF-28), y el sistema no guarda su identidad más allá del nombre suelto en Sale.buyerName. Quien efectivamente registra la venta es un Operador — sin login especial para "vendedor" — por eso tampoco aparece una asociación formal Operador–Sale: el sistema no lleva ese registro.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Assignment no tiene un atributo de "estado": cada hito del circuito (asignado, enviado a la óptica, retornado, entregado, cancelado) es un atributo de fecha propio, y esa secuencia de fechas ES la trazabilidad (RF-16). El estado "actual" de un marco vive en Frame.status, no se duplica acá.</w:t>
      </w:r>
    </w:p>
    <w:p>
      <w:pPr>
        <w:pStyle w:val="Heading1"/>
        <w:spacing w:after="180" w:before="420"/>
      </w:pPr>
      <w:r>
        <w:t xml:space="preserve">Relación con otros artefactos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Los mismos conceptos, ya como clases de software organizadas en capas (*ServiceHandler, *Repository, DTOs), están en la Vista de Desarrollo del Documento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 materialización de estas mismas entidades como tablas relacionales (con PK, FK, tipos de columna e índices) está en el Modelo de Base de Datos.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comportamiento de cada concepto frente a un actor está especificado en el Modelo de Casos de Uso y en los Casos de Uso Reales.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Dominio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785ddf671f487e73881a849410dc1ddae7088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2026-09-26T17:29:18.094Z</dcterms:created>
  <dcterms:modified xsi:type="dcterms:W3CDTF">2026-09-26T17:29:18.094Z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