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OBSERVACIONES Y SUGERENCIAS DEL “PROYECTO FINAL – BANCO DE ANTEOJOS (PMV)” – CICLO 2</w:t>
      </w:r>
    </w:p>
    <w:p>
      <w:pPr>
        <w:jc w:val="center"/>
      </w:pPr>
      <w:r>
        <w:rPr>
          <w:i/>
        </w:rPr>
        <w:t>Fecha: 28/10/2026 · Versión probada: main bd04bb8 · Testers: Ochoa, Ivan; Ocaranza, Javier; Sleiman, Julieta; Ponce, Facundo</w:t>
      </w:r>
    </w:p>
    <w:p>
      <w:pPr>
        <w:ind w:left="0"/>
        <w:jc w:val="both"/>
      </w:pPr>
      <w:r>
        <w:t>Resumen del ciclo: 148 casos (24 nuevos por los cambios de casos de uso, 26 modificados, 14 de regresión) — 140 aprobados, 5 no aprobados, 2 bloqueados y 1 N/A. De los 13 defectos del Ciclo 1 se cerraron 5 (DM-BA-001, DM-BA-002, DM-BA-010, DM-BA-011, DM-BA-012) y siguen abiertos 8; se registraron 0 defectos nuevos. Todas las funcionalidades incorporadas desde el Ciclo 1 (Mi perfil del beneficiario, reserva desde el probador, donaciones por Vía Cargo, catálogo de unidades únicas, foto de la entrega con aviso al donante, búsqueda y paginación) se comportaron según lo especificado en REQUIREMENTS.md.</w:t>
      </w:r>
    </w:p>
    <w:p>
      <w:pPr>
        <w:ind w:left="340" w:hanging="340"/>
        <w:jc w:val="both"/>
      </w:pPr>
      <w:r>
        <w:rPr>
          <w:b/>
        </w:rPr>
        <w:t xml:space="preserve">1.  </w:t>
      </w:r>
      <w:r>
        <w:t>Cuando el operador agenda un turno desde la ficha del solicitante, la pantalla sigue informando «Se le envió la confirmación por email», pero el turno queda «Pendiente de pago» y no se envía ningún correo; el staff no puede cargar el comprobante, así que ese turno no se puede aprobar ni registrar su asistencia (DM-BA-003, abierto desde el Ciclo 1). Sigue siendo la observación de mayor impacto para la operatoria diaria.</w:t>
      </w:r>
    </w:p>
    <w:p>
      <w:pPr>
        <w:ind w:left="340" w:hanging="340"/>
        <w:jc w:val="both"/>
      </w:pPr>
      <w:r>
        <w:rPr>
          <w:b/>
        </w:rPr>
        <w:t xml:space="preserve">2.  </w:t>
      </w:r>
      <w:r>
        <w:t>Siguen faltando funcionalidades especificadas en el SRS: validación presencial del DNI (RF-06; el nuevo «Mi perfil» muestra «Validación del DNI: Pendiente» sin forma de cambiarla), algoritmo de match receta↔marco (RF-14; el selector nuevo agrega búsqueda pero no propone candidatos), responsable de cada hito de la trazabilidad (RF-16 / RNF-09) y catálogo público sin sesión (RF-28). Si alguna se descarta del PMV, actualizar el SRS.</w:t>
      </w:r>
    </w:p>
    <w:p>
      <w:pPr>
        <w:ind w:left="340" w:hanging="340"/>
        <w:jc w:val="both"/>
      </w:pPr>
      <w:r>
        <w:rPr>
          <w:b/>
        </w:rPr>
        <w:t xml:space="preserve">3.  </w:t>
      </w:r>
      <w:r>
        <w:t>La Agenda sigue permitiendo registrar «Asistió»/«Faltó» en turnos de fechas futuras (DM-BA-004); esas asistencias no aparecen en el Panel de impacto, que considera los turnos hasta la fecha actual.</w:t>
      </w:r>
    </w:p>
    <w:p>
      <w:pPr>
        <w:ind w:left="340" w:hanging="340"/>
        <w:jc w:val="both"/>
      </w:pPr>
      <w:r>
        <w:rPr>
          <w:b/>
        </w:rPr>
        <w:t xml:space="preserve">4.  </w:t>
      </w:r>
      <w:r>
        <w:t>El adjunto de la receta cargado por el operador se sigue validando solo por el tipo declarado (DM-BA-005), mientras que los comprobantes de turno validan la firma de bytes. Conviene aplicar la misma validación a la receta que ahora también sube el propio beneficiario desde «Mi perfil».</w:t>
      </w:r>
    </w:p>
    <w:p>
      <w:pPr>
        <w:ind w:left="340" w:hanging="340"/>
        <w:jc w:val="both"/>
      </w:pPr>
      <w:r>
        <w:rPr>
          <w:b/>
        </w:rPr>
        <w:t xml:space="preserve">5.  </w:t>
      </w:r>
      <w:r>
        <w:t>Se corrigieron los problemas de configuración inicial del Ciclo 1: en una instalación nueva se crea el administrador y en producción el operador inicial ya no queda con una clave conocida. Queda como detalle que application.yml (perfil de desarrollo) conserva una clave por defecto para el operador local; se sugiere moverla a .env.example.</w:t>
      </w:r>
    </w:p>
    <w:p>
      <w:pPr>
        <w:ind w:left="340" w:hanging="340"/>
        <w:jc w:val="both"/>
      </w:pPr>
      <w:r>
        <w:rPr>
          <w:b/>
        </w:rPr>
        <w:t xml:space="preserve">6.  </w:t>
      </w:r>
      <w:r>
        <w:t>Se corrigieron la búsqueda en los listados (con tildes y mayúsculas indistintas), el botón «Vender» visible al beneficiario y el HTTP 500 ante identificadores no numéricos. La búsqueda y la paginación resuelven además la observación de volumen del Ciclo 1.</w:t>
      </w:r>
    </w:p>
    <w:p>
      <w:pPr>
        <w:ind w:left="340" w:hanging="340"/>
        <w:jc w:val="both"/>
      </w:pPr>
      <w:r>
        <w:rPr>
          <w:b/>
        </w:rPr>
        <w:t xml:space="preserve">7.  </w:t>
      </w:r>
      <w:r>
        <w:t>La API sigue permitiendo al operador crear anteojos del catálogo aunque la interfaz solo se lo permite al Administrador (SRS Apéndice C vs. RU-18). Definir la regla y alinear interfaz y backend.</w:t>
      </w:r>
    </w:p>
    <w:p>
      <w:pPr>
        <w:ind w:left="340" w:hanging="340"/>
        <w:jc w:val="both"/>
      </w:pPr>
      <w:r>
        <w:rPr>
          <w:b/>
        </w:rPr>
        <w:t xml:space="preserve">8.  </w:t>
      </w:r>
      <w:r>
        <w:t>La foto del marco se sigue recortando con un modelo que se descarga de https://staticimgly.com: es una dependencia externa no documentada y, sin acceso a esa CDN, no se pueden subir fotos de marcos desde la interfaz (TC-BA-RF13-05). Se sugiere servir el modelo desde el propio frontend, como ya se hace con MediaPipe.</w:t>
      </w:r>
    </w:p>
    <w:p>
      <w:pPr>
        <w:ind w:left="340" w:hanging="340"/>
        <w:jc w:val="both"/>
      </w:pPr>
      <w:r>
        <w:rPr>
          <w:b/>
        </w:rPr>
        <w:t xml:space="preserve">9.  </w:t>
      </w:r>
      <w:r>
        <w:t>El probador no envía la foto a ningún servidor (RNF-04 cumplido), pero MediaPipe sigue enviando telemetría de uso a odml.pa.googleapis.com y la interfaz carga tipografías desde Google Fonts. Evaluar deshabilitar la telemetría o declararla en la política de privacidad (RNF-02).</w:t>
      </w:r>
    </w:p>
    <w:p>
      <w:pPr>
        <w:ind w:left="340" w:hanging="340"/>
        <w:jc w:val="both"/>
      </w:pPr>
      <w:r>
        <w:rPr>
          <w:b/>
        </w:rPr>
        <w:t xml:space="preserve">10.  </w:t>
      </w:r>
      <w:r>
        <w:t>En el inventario, un marco con medidas parciales se sigue mostrando como «50 · ? · ?»; lo no informado debería mostrarse como «—».</w:t>
      </w:r>
    </w:p>
    <w:p>
      <w:pPr>
        <w:ind w:left="340" w:hanging="340"/>
        <w:jc w:val="both"/>
      </w:pPr>
      <w:r>
        <w:rPr>
          <w:b/>
        </w:rPr>
        <w:t xml:space="preserve">11.  </w:t>
      </w:r>
      <w:r>
        <w:t>Documentación: las funcionalidades nuevas (reserva desde el probador, donaciones por Vía Cargo, «Mi perfil», catálogo de unidades únicas, foto de la entrega) están descriptas solo en REQUIREMENTS.md, que además marca como pendiente reflejarlas en la Matriz de Trazabilidad. Faltan sus casos de uso y casos de uso reales, y siguen desactualizados RF-05 del SRS y RU-06 / RU-12 (DM-BA-013). Se recomienda actualizar el SRS y CASOS_DE_USO_REALES antes de la entrega.</w:t>
      </w:r>
    </w:p>
    <w:p>
      <w:pPr>
        <w:ind w:left="340" w:hanging="340"/>
        <w:jc w:val="both"/>
      </w:pPr>
      <w:r>
        <w:rPr>
          <w:b/>
        </w:rPr>
        <w:t xml:space="preserve">12.  </w:t>
      </w:r>
      <w:r>
        <w:t>Para el Ciclo 3: repetir los casos no aprobados y los relacionados con cada corrección (regresión), ejecutar TC-BA-RNF11-02 en Firefox, Edge y Safari, ejecutar TC-BA-RF13-05 con acceso a la CDN y agregar tests automatizados del backend que cubran los defectos abiertos.</w:t>
      </w:r>
    </w:p>
    <w:p>
      <w:pPr>
        <w:ind w:left="340" w:hanging="340"/>
        <w:jc w:val="both"/>
      </w:pPr>
      <w:r>
        <w:rPr>
          <w:b/>
        </w:rPr>
        <w:t xml:space="preserve">13.  </w:t>
      </w:r>
      <w:r>
        <w:t>Hay otras observaciones detalladas en los casos de prueba, incluso en los aprobados. Por favor tenerlas en cuenta para mejorar la calidad de la aplicación.</w:t>
      </w:r>
    </w:p>
    <w:p>
      <w:pPr>
        <w:pStyle w:val="Heading2"/>
      </w:pPr>
      <w:r>
        <w:t>Estado de los defectos al cierre del Ciclo 2</w:t>
      </w:r>
    </w:p>
    <w:tbl>
      <w:tblPr>
        <w:tblStyle w:val="TableGrid"/>
        <w:tblW w:type="auto" w:w="0"/>
        <w:jc w:val="center"/>
        <w:tblLayout w:type="fixed"/>
        <w:tblLook w:firstColumn="1" w:firstRow="1" w:lastColumn="0" w:lastRow="0" w:noHBand="0" w:noVBand="1" w:val="04A0"/>
      </w:tblPr>
      <w:tblGrid>
        <w:gridCol w:w="1134"/>
        <w:gridCol w:w="3742"/>
        <w:gridCol w:w="737"/>
        <w:gridCol w:w="907"/>
        <w:gridCol w:w="907"/>
        <w:gridCol w:w="1928"/>
      </w:tblGrid>
      <w:tr>
        <w:tc>
          <w:tcPr>
            <w:tcW w:type="dxa" w:w="1134"/>
            <w:shd w:val="clear" w:color="auto" w:fill="DCE6F1"/>
          </w:tcPr>
          <w:p>
            <w:r/>
            <w:r>
              <w:rPr>
                <w:b/>
                <w:sz w:val="16"/>
              </w:rPr>
              <w:t>Id</w:t>
            </w:r>
          </w:p>
        </w:tc>
        <w:tc>
          <w:tcPr>
            <w:tcW w:type="dxa" w:w="3742"/>
            <w:shd w:val="clear" w:color="auto" w:fill="DCE6F1"/>
          </w:tcPr>
          <w:p>
            <w:r/>
            <w:r>
              <w:rPr>
                <w:b/>
                <w:sz w:val="16"/>
              </w:rPr>
              <w:t>Título</w:t>
            </w:r>
          </w:p>
        </w:tc>
        <w:tc>
          <w:tcPr>
            <w:tcW w:type="dxa" w:w="737"/>
            <w:shd w:val="clear" w:color="auto" w:fill="DCE6F1"/>
          </w:tcPr>
          <w:p>
            <w:r/>
            <w:r>
              <w:rPr>
                <w:b/>
                <w:sz w:val="16"/>
              </w:rPr>
              <w:t>Sev.</w:t>
            </w:r>
          </w:p>
        </w:tc>
        <w:tc>
          <w:tcPr>
            <w:tcW w:type="dxa" w:w="907"/>
            <w:shd w:val="clear" w:color="auto" w:fill="DCE6F1"/>
          </w:tcPr>
          <w:p>
            <w:r/>
            <w:r>
              <w:rPr>
                <w:b/>
                <w:sz w:val="16"/>
              </w:rPr>
              <w:t>Detectado</w:t>
            </w:r>
          </w:p>
        </w:tc>
        <w:tc>
          <w:tcPr>
            <w:tcW w:type="dxa" w:w="907"/>
            <w:shd w:val="clear" w:color="auto" w:fill="DCE6F1"/>
          </w:tcPr>
          <w:p>
            <w:r/>
            <w:r>
              <w:rPr>
                <w:b/>
                <w:sz w:val="16"/>
              </w:rPr>
              <w:t>Estado</w:t>
            </w:r>
          </w:p>
        </w:tc>
        <w:tc>
          <w:tcPr>
            <w:tcW w:type="dxa" w:w="1928"/>
            <w:shd w:val="clear" w:color="auto" w:fill="DCE6F1"/>
          </w:tcPr>
          <w:p>
            <w:r/>
            <w:r>
              <w:rPr>
                <w:b/>
                <w:sz w:val="16"/>
              </w:rPr>
              <w:t>Casos</w:t>
            </w:r>
          </w:p>
        </w:tc>
      </w:tr>
      <w:tr>
        <w:tc>
          <w:tcPr>
            <w:tcW w:type="dxa" w:w="1134"/>
          </w:tcPr>
          <w:p>
            <w:r/>
            <w:r>
              <w:rPr>
                <w:sz w:val="16"/>
              </w:rPr>
              <w:t>DM-BA-001</w:t>
            </w:r>
          </w:p>
        </w:tc>
        <w:tc>
          <w:tcPr>
            <w:tcW w:type="dxa" w:w="3742"/>
          </w:tcPr>
          <w:p>
            <w:r/>
            <w:r>
              <w:rPr>
                <w:sz w:val="16"/>
              </w:rPr>
              <w:t>En una instalación nueva no se crea el administrador inicial</w:t>
            </w:r>
          </w:p>
        </w:tc>
        <w:tc>
          <w:tcPr>
            <w:tcW w:type="dxa" w:w="737"/>
          </w:tcPr>
          <w:p>
            <w:r/>
            <w:r>
              <w:rPr>
                <w:sz w:val="16"/>
              </w:rPr>
              <w:t>Alto</w:t>
            </w:r>
          </w:p>
        </w:tc>
        <w:tc>
          <w:tcPr>
            <w:tcW w:type="dxa" w:w="907"/>
          </w:tcPr>
          <w:p>
            <w:r/>
            <w:r>
              <w:rPr>
                <w:sz w:val="16"/>
              </w:rPr>
              <w:t>Ciclo 1</w:t>
            </w:r>
          </w:p>
        </w:tc>
        <w:tc>
          <w:tcPr>
            <w:tcW w:type="dxa" w:w="907"/>
          </w:tcPr>
          <w:p>
            <w:r/>
            <w:r>
              <w:rPr>
                <w:sz w:val="16"/>
              </w:rPr>
              <w:t>Cerrado</w:t>
            </w:r>
          </w:p>
        </w:tc>
        <w:tc>
          <w:tcPr>
            <w:tcW w:type="dxa" w:w="1928"/>
          </w:tcPr>
          <w:p>
            <w:r/>
            <w:r>
              <w:rPr>
                <w:sz w:val="16"/>
              </w:rPr>
              <w:t>TC-BA-RNF01-12</w:t>
            </w:r>
          </w:p>
        </w:tc>
      </w:tr>
      <w:tr>
        <w:tc>
          <w:tcPr>
            <w:tcW w:type="dxa" w:w="1134"/>
          </w:tcPr>
          <w:p>
            <w:r/>
            <w:r>
              <w:rPr>
                <w:sz w:val="16"/>
              </w:rPr>
              <w:t>DM-BA-002</w:t>
            </w:r>
          </w:p>
        </w:tc>
        <w:tc>
          <w:tcPr>
            <w:tcW w:type="dxa" w:w="3742"/>
          </w:tcPr>
          <w:p>
            <w:r/>
            <w:r>
              <w:rPr>
                <w:sz w:val="16"/>
              </w:rPr>
              <w:t>Contraseña del operador inicial versionada en el código y reseteada en cada arranque</w:t>
            </w:r>
          </w:p>
        </w:tc>
        <w:tc>
          <w:tcPr>
            <w:tcW w:type="dxa" w:w="737"/>
          </w:tcPr>
          <w:p>
            <w:r/>
            <w:r>
              <w:rPr>
                <w:sz w:val="16"/>
              </w:rPr>
              <w:t>Alto</w:t>
            </w:r>
          </w:p>
        </w:tc>
        <w:tc>
          <w:tcPr>
            <w:tcW w:type="dxa" w:w="907"/>
          </w:tcPr>
          <w:p>
            <w:r/>
            <w:r>
              <w:rPr>
                <w:sz w:val="16"/>
              </w:rPr>
              <w:t>Ciclo 1</w:t>
            </w:r>
          </w:p>
        </w:tc>
        <w:tc>
          <w:tcPr>
            <w:tcW w:type="dxa" w:w="907"/>
          </w:tcPr>
          <w:p>
            <w:r/>
            <w:r>
              <w:rPr>
                <w:sz w:val="16"/>
              </w:rPr>
              <w:t>Cerrado</w:t>
            </w:r>
          </w:p>
        </w:tc>
        <w:tc>
          <w:tcPr>
            <w:tcW w:type="dxa" w:w="1928"/>
          </w:tcPr>
          <w:p>
            <w:r/>
            <w:r>
              <w:rPr>
                <w:sz w:val="16"/>
              </w:rPr>
              <w:t>TC-BA-RNF03-01</w:t>
            </w:r>
          </w:p>
        </w:tc>
      </w:tr>
      <w:tr>
        <w:tc>
          <w:tcPr>
            <w:tcW w:type="dxa" w:w="1134"/>
          </w:tcPr>
          <w:p>
            <w:r/>
            <w:r>
              <w:rPr>
                <w:sz w:val="16"/>
              </w:rPr>
              <w:t>DM-BA-003</w:t>
            </w:r>
          </w:p>
        </w:tc>
        <w:tc>
          <w:tcPr>
            <w:tcW w:type="dxa" w:w="3742"/>
          </w:tcPr>
          <w:p>
            <w:r/>
            <w:r>
              <w:rPr>
                <w:sz w:val="16"/>
              </w:rPr>
              <w:t>El turno agendado por el staff queda "Pendiente de pago" y no se notifica, aunque la pantalla dice que se envió el email</w:t>
            </w:r>
          </w:p>
        </w:tc>
        <w:tc>
          <w:tcPr>
            <w:tcW w:type="dxa" w:w="737"/>
          </w:tcPr>
          <w:p>
            <w:r/>
            <w:r>
              <w:rPr>
                <w:sz w:val="16"/>
              </w:rPr>
              <w:t>Alto</w:t>
            </w:r>
          </w:p>
        </w:tc>
        <w:tc>
          <w:tcPr>
            <w:tcW w:type="dxa" w:w="907"/>
          </w:tcPr>
          <w:p>
            <w:r/>
            <w:r>
              <w:rPr>
                <w:sz w:val="16"/>
              </w:rPr>
              <w:t>Ciclo 1</w:t>
            </w:r>
          </w:p>
        </w:tc>
        <w:tc>
          <w:tcPr>
            <w:tcW w:type="dxa" w:w="907"/>
          </w:tcPr>
          <w:p>
            <w:r/>
            <w:r>
              <w:rPr>
                <w:sz w:val="16"/>
              </w:rPr>
              <w:t>Abierto</w:t>
            </w:r>
          </w:p>
        </w:tc>
        <w:tc>
          <w:tcPr>
            <w:tcW w:type="dxa" w:w="1928"/>
          </w:tcPr>
          <w:p>
            <w:r/>
            <w:r>
              <w:rPr>
                <w:sz w:val="16"/>
              </w:rPr>
              <w:t>TC-BA-RF20-04</w:t>
            </w:r>
          </w:p>
        </w:tc>
      </w:tr>
      <w:tr>
        <w:tc>
          <w:tcPr>
            <w:tcW w:type="dxa" w:w="1134"/>
          </w:tcPr>
          <w:p>
            <w:r/>
            <w:r>
              <w:rPr>
                <w:sz w:val="16"/>
              </w:rPr>
              <w:t>DM-BA-004</w:t>
            </w:r>
          </w:p>
        </w:tc>
        <w:tc>
          <w:tcPr>
            <w:tcW w:type="dxa" w:w="3742"/>
          </w:tcPr>
          <w:p>
            <w:r/>
            <w:r>
              <w:rPr>
                <w:sz w:val="16"/>
              </w:rPr>
              <w:t>Se puede registrar "Asistió"/"Faltó" en turnos de fechas futuras</w:t>
            </w:r>
          </w:p>
        </w:tc>
        <w:tc>
          <w:tcPr>
            <w:tcW w:type="dxa" w:w="737"/>
          </w:tcPr>
          <w:p>
            <w:r/>
            <w:r>
              <w:rPr>
                <w:sz w:val="16"/>
              </w:rPr>
              <w:t>Medio</w:t>
            </w:r>
          </w:p>
        </w:tc>
        <w:tc>
          <w:tcPr>
            <w:tcW w:type="dxa" w:w="907"/>
          </w:tcPr>
          <w:p>
            <w:r/>
            <w:r>
              <w:rPr>
                <w:sz w:val="16"/>
              </w:rPr>
              <w:t>Ciclo 1</w:t>
            </w:r>
          </w:p>
        </w:tc>
        <w:tc>
          <w:tcPr>
            <w:tcW w:type="dxa" w:w="907"/>
          </w:tcPr>
          <w:p>
            <w:r/>
            <w:r>
              <w:rPr>
                <w:sz w:val="16"/>
              </w:rPr>
              <w:t>Abierto</w:t>
            </w:r>
          </w:p>
        </w:tc>
        <w:tc>
          <w:tcPr>
            <w:tcW w:type="dxa" w:w="1928"/>
          </w:tcPr>
          <w:p>
            <w:r/>
            <w:r>
              <w:rPr>
                <w:sz w:val="16"/>
              </w:rPr>
              <w:t>TC-BA-RF21-08</w:t>
            </w:r>
          </w:p>
        </w:tc>
      </w:tr>
      <w:tr>
        <w:tc>
          <w:tcPr>
            <w:tcW w:type="dxa" w:w="1134"/>
          </w:tcPr>
          <w:p>
            <w:r/>
            <w:r>
              <w:rPr>
                <w:sz w:val="16"/>
              </w:rPr>
              <w:t>DM-BA-005</w:t>
            </w:r>
          </w:p>
        </w:tc>
        <w:tc>
          <w:tcPr>
            <w:tcW w:type="dxa" w:w="3742"/>
          </w:tcPr>
          <w:p>
            <w:r/>
            <w:r>
              <w:rPr>
                <w:sz w:val="16"/>
              </w:rPr>
              <w:t>El adjunto de la receta se valida solo por el Content-Type declarado</w:t>
            </w:r>
          </w:p>
        </w:tc>
        <w:tc>
          <w:tcPr>
            <w:tcW w:type="dxa" w:w="737"/>
          </w:tcPr>
          <w:p>
            <w:r/>
            <w:r>
              <w:rPr>
                <w:sz w:val="16"/>
              </w:rPr>
              <w:t>Medio</w:t>
            </w:r>
          </w:p>
        </w:tc>
        <w:tc>
          <w:tcPr>
            <w:tcW w:type="dxa" w:w="907"/>
          </w:tcPr>
          <w:p>
            <w:r/>
            <w:r>
              <w:rPr>
                <w:sz w:val="16"/>
              </w:rPr>
              <w:t>Ciclo 1</w:t>
            </w:r>
          </w:p>
        </w:tc>
        <w:tc>
          <w:tcPr>
            <w:tcW w:type="dxa" w:w="907"/>
          </w:tcPr>
          <w:p>
            <w:r/>
            <w:r>
              <w:rPr>
                <w:sz w:val="16"/>
              </w:rPr>
              <w:t>Abierto</w:t>
            </w:r>
          </w:p>
        </w:tc>
        <w:tc>
          <w:tcPr>
            <w:tcW w:type="dxa" w:w="1928"/>
          </w:tcPr>
          <w:p>
            <w:r/>
            <w:r>
              <w:rPr>
                <w:sz w:val="16"/>
              </w:rPr>
              <w:t>TC-BA-RF07-06</w:t>
            </w:r>
          </w:p>
        </w:tc>
      </w:tr>
      <w:tr>
        <w:tc>
          <w:tcPr>
            <w:tcW w:type="dxa" w:w="1134"/>
          </w:tcPr>
          <w:p>
            <w:r/>
            <w:r>
              <w:rPr>
                <w:sz w:val="16"/>
              </w:rPr>
              <w:t>DM-BA-006</w:t>
            </w:r>
          </w:p>
        </w:tc>
        <w:tc>
          <w:tcPr>
            <w:tcW w:type="dxa" w:w="3742"/>
          </w:tcPr>
          <w:p>
            <w:r/>
            <w:r>
              <w:rPr>
                <w:sz w:val="16"/>
              </w:rPr>
              <w:t>No está implementada la validación presencial del DNI (RF-06)</w:t>
            </w:r>
          </w:p>
        </w:tc>
        <w:tc>
          <w:tcPr>
            <w:tcW w:type="dxa" w:w="737"/>
          </w:tcPr>
          <w:p>
            <w:r/>
            <w:r>
              <w:rPr>
                <w:sz w:val="16"/>
              </w:rPr>
              <w:t>Alto</w:t>
            </w:r>
          </w:p>
        </w:tc>
        <w:tc>
          <w:tcPr>
            <w:tcW w:type="dxa" w:w="907"/>
          </w:tcPr>
          <w:p>
            <w:r/>
            <w:r>
              <w:rPr>
                <w:sz w:val="16"/>
              </w:rPr>
              <w:t>Ciclo 1</w:t>
            </w:r>
          </w:p>
        </w:tc>
        <w:tc>
          <w:tcPr>
            <w:tcW w:type="dxa" w:w="907"/>
          </w:tcPr>
          <w:p>
            <w:r/>
            <w:r>
              <w:rPr>
                <w:sz w:val="16"/>
              </w:rPr>
              <w:t>Abierto</w:t>
            </w:r>
          </w:p>
        </w:tc>
        <w:tc>
          <w:tcPr>
            <w:tcW w:type="dxa" w:w="1928"/>
          </w:tcPr>
          <w:p>
            <w:r/>
            <w:r>
              <w:rPr>
                <w:sz w:val="16"/>
              </w:rPr>
              <w:t>TC-BA-RF06-01</w:t>
            </w:r>
          </w:p>
        </w:tc>
      </w:tr>
      <w:tr>
        <w:tc>
          <w:tcPr>
            <w:tcW w:type="dxa" w:w="1134"/>
          </w:tcPr>
          <w:p>
            <w:r/>
            <w:r>
              <w:rPr>
                <w:sz w:val="16"/>
              </w:rPr>
              <w:t>DM-BA-007</w:t>
            </w:r>
          </w:p>
        </w:tc>
        <w:tc>
          <w:tcPr>
            <w:tcW w:type="dxa" w:w="3742"/>
          </w:tcPr>
          <w:p>
            <w:r/>
            <w:r>
              <w:rPr>
                <w:sz w:val="16"/>
              </w:rPr>
              <w:t>No existe el algoritmo de match receta↔marco (RF-14)</w:t>
            </w:r>
          </w:p>
        </w:tc>
        <w:tc>
          <w:tcPr>
            <w:tcW w:type="dxa" w:w="737"/>
          </w:tcPr>
          <w:p>
            <w:r/>
            <w:r>
              <w:rPr>
                <w:sz w:val="16"/>
              </w:rPr>
              <w:t>Medio</w:t>
            </w:r>
          </w:p>
        </w:tc>
        <w:tc>
          <w:tcPr>
            <w:tcW w:type="dxa" w:w="907"/>
          </w:tcPr>
          <w:p>
            <w:r/>
            <w:r>
              <w:rPr>
                <w:sz w:val="16"/>
              </w:rPr>
              <w:t>Ciclo 1</w:t>
            </w:r>
          </w:p>
        </w:tc>
        <w:tc>
          <w:tcPr>
            <w:tcW w:type="dxa" w:w="907"/>
          </w:tcPr>
          <w:p>
            <w:r/>
            <w:r>
              <w:rPr>
                <w:sz w:val="16"/>
              </w:rPr>
              <w:t>Abierto</w:t>
            </w:r>
          </w:p>
        </w:tc>
        <w:tc>
          <w:tcPr>
            <w:tcW w:type="dxa" w:w="1928"/>
          </w:tcPr>
          <w:p>
            <w:r/>
            <w:r>
              <w:rPr>
                <w:sz w:val="16"/>
              </w:rPr>
              <w:t>TC-BA-RF14-01</w:t>
            </w:r>
          </w:p>
        </w:tc>
      </w:tr>
      <w:tr>
        <w:tc>
          <w:tcPr>
            <w:tcW w:type="dxa" w:w="1134"/>
          </w:tcPr>
          <w:p>
            <w:r/>
            <w:r>
              <w:rPr>
                <w:sz w:val="16"/>
              </w:rPr>
              <w:t>DM-BA-008</w:t>
            </w:r>
          </w:p>
        </w:tc>
        <w:tc>
          <w:tcPr>
            <w:tcW w:type="dxa" w:w="3742"/>
          </w:tcPr>
          <w:p>
            <w:r/>
            <w:r>
              <w:rPr>
                <w:sz w:val="16"/>
              </w:rPr>
              <w:t>La trazabilidad no registra el responsable de cada hito</w:t>
            </w:r>
          </w:p>
        </w:tc>
        <w:tc>
          <w:tcPr>
            <w:tcW w:type="dxa" w:w="737"/>
          </w:tcPr>
          <w:p>
            <w:r/>
            <w:r>
              <w:rPr>
                <w:sz w:val="16"/>
              </w:rPr>
              <w:t>Medio</w:t>
            </w:r>
          </w:p>
        </w:tc>
        <w:tc>
          <w:tcPr>
            <w:tcW w:type="dxa" w:w="907"/>
          </w:tcPr>
          <w:p>
            <w:r/>
            <w:r>
              <w:rPr>
                <w:sz w:val="16"/>
              </w:rPr>
              <w:t>Ciclo 1</w:t>
            </w:r>
          </w:p>
        </w:tc>
        <w:tc>
          <w:tcPr>
            <w:tcW w:type="dxa" w:w="907"/>
          </w:tcPr>
          <w:p>
            <w:r/>
            <w:r>
              <w:rPr>
                <w:sz w:val="16"/>
              </w:rPr>
              <w:t>Abierto</w:t>
            </w:r>
          </w:p>
        </w:tc>
        <w:tc>
          <w:tcPr>
            <w:tcW w:type="dxa" w:w="1928"/>
          </w:tcPr>
          <w:p>
            <w:r/>
            <w:r>
              <w:rPr>
                <w:sz w:val="16"/>
              </w:rPr>
              <w:t>TC-BA-RF16-04</w:t>
            </w:r>
          </w:p>
        </w:tc>
      </w:tr>
      <w:tr>
        <w:tc>
          <w:tcPr>
            <w:tcW w:type="dxa" w:w="1134"/>
          </w:tcPr>
          <w:p>
            <w:r/>
            <w:r>
              <w:rPr>
                <w:sz w:val="16"/>
              </w:rPr>
              <w:t>DM-BA-009</w:t>
            </w:r>
          </w:p>
        </w:tc>
        <w:tc>
          <w:tcPr>
            <w:tcW w:type="dxa" w:w="3742"/>
          </w:tcPr>
          <w:p>
            <w:r/>
            <w:r>
              <w:rPr>
                <w:sz w:val="16"/>
              </w:rPr>
              <w:t>El catálogo de anteojos de sol no es consultable sin iniciar sesión</w:t>
            </w:r>
          </w:p>
        </w:tc>
        <w:tc>
          <w:tcPr>
            <w:tcW w:type="dxa" w:w="737"/>
          </w:tcPr>
          <w:p>
            <w:r/>
            <w:r>
              <w:rPr>
                <w:sz w:val="16"/>
              </w:rPr>
              <w:t>Medio</w:t>
            </w:r>
          </w:p>
        </w:tc>
        <w:tc>
          <w:tcPr>
            <w:tcW w:type="dxa" w:w="907"/>
          </w:tcPr>
          <w:p>
            <w:r/>
            <w:r>
              <w:rPr>
                <w:sz w:val="16"/>
              </w:rPr>
              <w:t>Ciclo 1</w:t>
            </w:r>
          </w:p>
        </w:tc>
        <w:tc>
          <w:tcPr>
            <w:tcW w:type="dxa" w:w="907"/>
          </w:tcPr>
          <w:p>
            <w:r/>
            <w:r>
              <w:rPr>
                <w:sz w:val="16"/>
              </w:rPr>
              <w:t>Abierto</w:t>
            </w:r>
          </w:p>
        </w:tc>
        <w:tc>
          <w:tcPr>
            <w:tcW w:type="dxa" w:w="1928"/>
          </w:tcPr>
          <w:p>
            <w:r/>
            <w:r>
              <w:rPr>
                <w:sz w:val="16"/>
              </w:rPr>
              <w:t>TC-BA-RF28-02</w:t>
            </w:r>
          </w:p>
        </w:tc>
      </w:tr>
      <w:tr>
        <w:tc>
          <w:tcPr>
            <w:tcW w:type="dxa" w:w="1134"/>
          </w:tcPr>
          <w:p>
            <w:r/>
            <w:r>
              <w:rPr>
                <w:sz w:val="16"/>
              </w:rPr>
              <w:t>DM-BA-010</w:t>
            </w:r>
          </w:p>
        </w:tc>
        <w:tc>
          <w:tcPr>
            <w:tcW w:type="dxa" w:w="3742"/>
          </w:tcPr>
          <w:p>
            <w:r/>
            <w:r>
              <w:rPr>
                <w:sz w:val="16"/>
              </w:rPr>
              <w:t>Los listados de Solicitantes y Donantes no tienen búsqueda ni filtros</w:t>
            </w:r>
          </w:p>
        </w:tc>
        <w:tc>
          <w:tcPr>
            <w:tcW w:type="dxa" w:w="737"/>
          </w:tcPr>
          <w:p>
            <w:r/>
            <w:r>
              <w:rPr>
                <w:sz w:val="16"/>
              </w:rPr>
              <w:t>Medio</w:t>
            </w:r>
          </w:p>
        </w:tc>
        <w:tc>
          <w:tcPr>
            <w:tcW w:type="dxa" w:w="907"/>
          </w:tcPr>
          <w:p>
            <w:r/>
            <w:r>
              <w:rPr>
                <w:sz w:val="16"/>
              </w:rPr>
              <w:t>Ciclo 1</w:t>
            </w:r>
          </w:p>
        </w:tc>
        <w:tc>
          <w:tcPr>
            <w:tcW w:type="dxa" w:w="907"/>
          </w:tcPr>
          <w:p>
            <w:r/>
            <w:r>
              <w:rPr>
                <w:sz w:val="16"/>
              </w:rPr>
              <w:t>Cerrado</w:t>
            </w:r>
          </w:p>
        </w:tc>
        <w:tc>
          <w:tcPr>
            <w:tcW w:type="dxa" w:w="1928"/>
          </w:tcPr>
          <w:p>
            <w:r/>
            <w:r>
              <w:rPr>
                <w:sz w:val="16"/>
              </w:rPr>
              <w:t>TC-BA-RF08-04, TC-BA-RF12-02</w:t>
            </w:r>
          </w:p>
        </w:tc>
      </w:tr>
      <w:tr>
        <w:tc>
          <w:tcPr>
            <w:tcW w:type="dxa" w:w="1134"/>
          </w:tcPr>
          <w:p>
            <w:r/>
            <w:r>
              <w:rPr>
                <w:sz w:val="16"/>
              </w:rPr>
              <w:t>DM-BA-011</w:t>
            </w:r>
          </w:p>
        </w:tc>
        <w:tc>
          <w:tcPr>
            <w:tcW w:type="dxa" w:w="3742"/>
          </w:tcPr>
          <w:p>
            <w:r/>
            <w:r>
              <w:rPr>
                <w:sz w:val="16"/>
              </w:rPr>
              <w:t>El beneficiario ve el botón "Vender" en el catálogo</w:t>
            </w:r>
          </w:p>
        </w:tc>
        <w:tc>
          <w:tcPr>
            <w:tcW w:type="dxa" w:w="737"/>
          </w:tcPr>
          <w:p>
            <w:r/>
            <w:r>
              <w:rPr>
                <w:sz w:val="16"/>
              </w:rPr>
              <w:t>Bajo</w:t>
            </w:r>
          </w:p>
        </w:tc>
        <w:tc>
          <w:tcPr>
            <w:tcW w:type="dxa" w:w="907"/>
          </w:tcPr>
          <w:p>
            <w:r/>
            <w:r>
              <w:rPr>
                <w:sz w:val="16"/>
              </w:rPr>
              <w:t>Ciclo 1</w:t>
            </w:r>
          </w:p>
        </w:tc>
        <w:tc>
          <w:tcPr>
            <w:tcW w:type="dxa" w:w="907"/>
          </w:tcPr>
          <w:p>
            <w:r/>
            <w:r>
              <w:rPr>
                <w:sz w:val="16"/>
              </w:rPr>
              <w:t>Cerrado</w:t>
            </w:r>
          </w:p>
        </w:tc>
        <w:tc>
          <w:tcPr>
            <w:tcW w:type="dxa" w:w="1928"/>
          </w:tcPr>
          <w:p>
            <w:r/>
            <w:r>
              <w:rPr>
                <w:sz w:val="16"/>
              </w:rPr>
              <w:t>TC-BA-RNF01-11</w:t>
            </w:r>
          </w:p>
        </w:tc>
      </w:tr>
      <w:tr>
        <w:tc>
          <w:tcPr>
            <w:tcW w:type="dxa" w:w="1134"/>
          </w:tcPr>
          <w:p>
            <w:r/>
            <w:r>
              <w:rPr>
                <w:sz w:val="16"/>
              </w:rPr>
              <w:t>DM-BA-012</w:t>
            </w:r>
          </w:p>
        </w:tc>
        <w:tc>
          <w:tcPr>
            <w:tcW w:type="dxa" w:w="3742"/>
          </w:tcPr>
          <w:p>
            <w:r/>
            <w:r>
              <w:rPr>
                <w:sz w:val="16"/>
              </w:rPr>
              <w:t>Un identificador no numérico en la URL devuelve HTTP 500</w:t>
            </w:r>
          </w:p>
        </w:tc>
        <w:tc>
          <w:tcPr>
            <w:tcW w:type="dxa" w:w="737"/>
          </w:tcPr>
          <w:p>
            <w:r/>
            <w:r>
              <w:rPr>
                <w:sz w:val="16"/>
              </w:rPr>
              <w:t>Bajo</w:t>
            </w:r>
          </w:p>
        </w:tc>
        <w:tc>
          <w:tcPr>
            <w:tcW w:type="dxa" w:w="907"/>
          </w:tcPr>
          <w:p>
            <w:r/>
            <w:r>
              <w:rPr>
                <w:sz w:val="16"/>
              </w:rPr>
              <w:t>Ciclo 1</w:t>
            </w:r>
          </w:p>
        </w:tc>
        <w:tc>
          <w:tcPr>
            <w:tcW w:type="dxa" w:w="907"/>
          </w:tcPr>
          <w:p>
            <w:r/>
            <w:r>
              <w:rPr>
                <w:sz w:val="16"/>
              </w:rPr>
              <w:t>Cerrado</w:t>
            </w:r>
          </w:p>
        </w:tc>
        <w:tc>
          <w:tcPr>
            <w:tcW w:type="dxa" w:w="1928"/>
          </w:tcPr>
          <w:p>
            <w:r/>
            <w:r>
              <w:rPr>
                <w:sz w:val="16"/>
              </w:rPr>
              <w:t>TC-BA-RNF02-01</w:t>
            </w:r>
          </w:p>
        </w:tc>
      </w:tr>
      <w:tr>
        <w:tc>
          <w:tcPr>
            <w:tcW w:type="dxa" w:w="1134"/>
          </w:tcPr>
          <w:p>
            <w:r/>
            <w:r>
              <w:rPr>
                <w:sz w:val="16"/>
              </w:rPr>
              <w:t>DM-BA-013</w:t>
            </w:r>
          </w:p>
        </w:tc>
        <w:tc>
          <w:tcPr>
            <w:tcW w:type="dxa" w:w="3742"/>
          </w:tcPr>
          <w:p>
            <w:r/>
            <w:r>
              <w:rPr>
                <w:sz w:val="16"/>
              </w:rPr>
              <w:t>RF-05 del SRS es contradictorio sobre el rechazo de certificaciones vencidas</w:t>
            </w:r>
          </w:p>
        </w:tc>
        <w:tc>
          <w:tcPr>
            <w:tcW w:type="dxa" w:w="737"/>
          </w:tcPr>
          <w:p>
            <w:r/>
            <w:r>
              <w:rPr>
                <w:sz w:val="16"/>
              </w:rPr>
              <w:t>Bajo</w:t>
            </w:r>
          </w:p>
        </w:tc>
        <w:tc>
          <w:tcPr>
            <w:tcW w:type="dxa" w:w="907"/>
          </w:tcPr>
          <w:p>
            <w:r/>
            <w:r>
              <w:rPr>
                <w:sz w:val="16"/>
              </w:rPr>
              <w:t>Ciclo 1</w:t>
            </w:r>
          </w:p>
        </w:tc>
        <w:tc>
          <w:tcPr>
            <w:tcW w:type="dxa" w:w="907"/>
          </w:tcPr>
          <w:p>
            <w:r/>
            <w:r>
              <w:rPr>
                <w:sz w:val="16"/>
              </w:rPr>
              <w:t>Abierto</w:t>
            </w:r>
          </w:p>
        </w:tc>
        <w:tc>
          <w:tcPr>
            <w:tcW w:type="dxa" w:w="1928"/>
          </w:tcPr>
          <w:p>
            <w:r/>
            <w:r>
              <w:rPr>
                <w:sz w:val="16"/>
              </w:rPr>
              <w:t>TC-BA-RF05-01</w:t>
            </w:r>
          </w:p>
        </w:tc>
      </w:tr>
    </w:tbl>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Proyecto Final UTN-FRT 2026 · T045 · Banco de Anteojos — Fundación Hacer Futuro · Página </w:t>
    </w:r>
    <w:r>
      <w:rPr>
        <w:sz w:val="16"/>
      </w:rPr>
      <w:fldChar w:fldCharType="begin"/>
    </w:r>
    <w:r>
      <w:rPr>
        <w:sz w:val="16"/>
      </w:rPr>
      <w:instrText xml:space="preserve">PAGE</w:instrTex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Testing y Calidad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