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PLAN DE TESTING – SISTEMA BANCO DE ANTEOJOS – UTN</w:t>
      </w:r>
    </w:p>
    <w:p>
      <w:pPr>
        <w:jc w:val="center"/>
      </w:pPr>
      <w:r>
        <w:rPr>
          <w:i/>
        </w:rPr>
        <w:t>Trabajo Práctico N° 8 – Parcial: avance de Implementación y Pruebas (funcionalidades del PMV)</w:t>
        <w:br/>
        <w:t>Proyecto Final UTN-FRT 2026 · ID T045 · Fundación Hacer Futuro</w:t>
      </w:r>
    </w:p>
    <w:tbl>
      <w:tblPr>
        <w:tblStyle w:val="TableGrid"/>
        <w:tblW w:type="auto" w:w="0"/>
        <w:jc w:val="center"/>
        <w:tblLayout w:type="fixed"/>
        <w:tblLook w:firstColumn="1" w:firstRow="1" w:lastColumn="0" w:lastRow="0" w:noHBand="0" w:noVBand="1" w:val="04A0"/>
      </w:tblPr>
      <w:tblGrid>
        <w:gridCol w:w="794"/>
        <w:gridCol w:w="1247"/>
        <w:gridCol w:w="3061"/>
        <w:gridCol w:w="4252"/>
      </w:tblGrid>
      <w:tr>
        <w:tc>
          <w:tcPr>
            <w:tcW w:type="dxa" w:w="794"/>
            <w:shd w:val="clear" w:color="auto" w:fill="DCE6F1"/>
          </w:tcPr>
          <w:p>
            <w:r/>
            <w:r>
              <w:rPr>
                <w:b/>
                <w:sz w:val="18"/>
              </w:rPr>
              <w:t>Versión</w:t>
            </w:r>
          </w:p>
        </w:tc>
        <w:tc>
          <w:tcPr>
            <w:tcW w:type="dxa" w:w="1247"/>
            <w:shd w:val="clear" w:color="auto" w:fill="DCE6F1"/>
          </w:tcPr>
          <w:p>
            <w:r/>
            <w:r>
              <w:rPr>
                <w:b/>
                <w:sz w:val="18"/>
              </w:rPr>
              <w:t>Fecha</w:t>
            </w:r>
          </w:p>
        </w:tc>
        <w:tc>
          <w:tcPr>
            <w:tcW w:type="dxa" w:w="3061"/>
            <w:shd w:val="clear" w:color="auto" w:fill="DCE6F1"/>
          </w:tcPr>
          <w:p>
            <w:r/>
            <w:r>
              <w:rPr>
                <w:b/>
                <w:sz w:val="18"/>
              </w:rPr>
              <w:t>Autores</w:t>
            </w:r>
          </w:p>
        </w:tc>
        <w:tc>
          <w:tcPr>
            <w:tcW w:type="dxa" w:w="4252"/>
            <w:shd w:val="clear" w:color="auto" w:fill="DCE6F1"/>
          </w:tcPr>
          <w:p>
            <w:r/>
            <w:r>
              <w:rPr>
                <w:b/>
                <w:sz w:val="18"/>
              </w:rPr>
              <w:t>Cambios</w:t>
            </w:r>
          </w:p>
        </w:tc>
      </w:tr>
      <w:tr>
        <w:tc>
          <w:tcPr>
            <w:tcW w:type="dxa" w:w="794"/>
          </w:tcPr>
          <w:p>
            <w:r/>
            <w:r>
              <w:rPr>
                <w:sz w:val="18"/>
              </w:rPr>
              <w:t>1.0</w:t>
            </w:r>
          </w:p>
        </w:tc>
        <w:tc>
          <w:tcPr>
            <w:tcW w:type="dxa" w:w="1247"/>
          </w:tcPr>
          <w:p>
            <w:r/>
            <w:r>
              <w:rPr>
                <w:sz w:val="18"/>
              </w:rPr>
              <w:t>20/10/2026</w:t>
            </w:r>
          </w:p>
        </w:tc>
        <w:tc>
          <w:tcPr>
            <w:tcW w:type="dxa" w:w="3061"/>
          </w:tcPr>
          <w:p>
            <w:r/>
            <w:r>
              <w:rPr>
                <w:sz w:val="18"/>
              </w:rPr>
              <w:t>Ochoa, Ivan; Ocaranza, Javier; Sleiman, Julieta; Ponce, Facundo</w:t>
            </w:r>
          </w:p>
        </w:tc>
        <w:tc>
          <w:tcPr>
            <w:tcW w:type="dxa" w:w="4252"/>
          </w:tcPr>
          <w:p>
            <w:r/>
            <w:r>
              <w:rPr>
                <w:sz w:val="18"/>
              </w:rPr>
              <w:t>Versión inicial. Ciclo 1 ejecutado sobre feat/testing (f118fec).</w:t>
            </w:r>
          </w:p>
        </w:tc>
      </w:tr>
      <w:tr>
        <w:tc>
          <w:tcPr>
            <w:tcW w:type="dxa" w:w="794"/>
          </w:tcPr>
          <w:p>
            <w:r/>
            <w:r>
              <w:rPr>
                <w:sz w:val="18"/>
              </w:rPr>
              <w:t>2.0</w:t>
            </w:r>
          </w:p>
        </w:tc>
        <w:tc>
          <w:tcPr>
            <w:tcW w:type="dxa" w:w="1247"/>
          </w:tcPr>
          <w:p>
            <w:r/>
            <w:r>
              <w:rPr>
                <w:sz w:val="18"/>
              </w:rPr>
              <w:t>28/10/2026</w:t>
            </w:r>
          </w:p>
        </w:tc>
        <w:tc>
          <w:tcPr>
            <w:tcW w:type="dxa" w:w="3061"/>
          </w:tcPr>
          <w:p>
            <w:r/>
            <w:r>
              <w:rPr>
                <w:sz w:val="18"/>
              </w:rPr>
              <w:t>Ochoa, Ivan; Ocaranza, Javier; Sleiman, Julieta; Ponce, Facundo</w:t>
            </w:r>
          </w:p>
        </w:tc>
        <w:tc>
          <w:tcPr>
            <w:tcW w:type="dxa" w:w="4252"/>
          </w:tcPr>
          <w:p>
            <w:r/>
            <w:r>
              <w:rPr>
                <w:sz w:val="18"/>
              </w:rPr>
              <w:t>Casos de uso actualizados en main (bd04bb8): casos nuevos y modificados, regresión de los defectos del Ciclo 1 y Ciclo 2 ejecutado.</w:t>
            </w:r>
          </w:p>
        </w:tc>
      </w:tr>
    </w:tbl>
    <w:p/>
    <w:p>
      <w:pPr>
        <w:pStyle w:val="Heading1"/>
      </w:pPr>
      <w:r>
        <w:t>1. Identificador del Plan de Testing</w:t>
      </w:r>
    </w:p>
    <w:p>
      <w:pPr>
        <w:ind w:left="567"/>
        <w:jc w:val="both"/>
      </w:pPr>
      <w:r>
        <w:t>PT-BA-2026-01</w:t>
      </w:r>
    </w:p>
    <w:p>
      <w:pPr>
        <w:pStyle w:val="Heading1"/>
      </w:pPr>
      <w:r>
        <w:t>2. Introducción</w:t>
      </w:r>
    </w:p>
    <w:p>
      <w:pPr>
        <w:ind w:left="567"/>
        <w:jc w:val="both"/>
      </w:pPr>
      <w:r>
        <w:t>La Fundación Hacer Futuro (Chacabuco 27, San Miguel de Tucumán) gestiona el Banco de Anteojos en papel: recibe marcos donados, les coloca cristales graduados y los entrega sin cargo a personas sin cobertura médica, sin trazabilidad ni inventario digital. El objetivo del proyecto a probar es construir un sistema de información web que reemplace esa operatoria, digitalizando la recepción de donaciones, la validación de elegibilidad de los beneficiarios, el inventario con asignación receta↔marco y la trazabilidad hasta la entrega, los turnos, la logística de envíos entre sucursales, el probador virtual y el catálogo de anteojos de sol.</w:t>
      </w:r>
    </w:p>
    <w:p>
      <w:pPr>
        <w:ind w:left="567"/>
        <w:jc w:val="both"/>
      </w:pPr>
      <w:r>
        <w:t>Las siguientes secciones describen la naturaleza del sistema bajo prueba, los objetivos de la prueba y la amplitud. También se provee una lista de documentos relacionados.</w:t>
      </w:r>
    </w:p>
    <w:p>
      <w:pPr>
        <w:pStyle w:val="Heading2"/>
      </w:pPr>
      <w:r>
        <w:t>2.1. Naturaleza del Proyecto</w:t>
      </w:r>
    </w:p>
    <w:p>
      <w:pPr>
        <w:ind w:left="567"/>
        <w:jc w:val="both"/>
      </w:pPr>
      <w:r>
        <w:t>Este sistema permitirá administrar en forma centralizada el ciclo completo del Banco de Anteojos. Es una aplicación web (SPA en React) que consume una API REST (Spring Boot, autenticación JWT stateless) sobre PostgreSQL. Tiene tres perfiles: Administrador, Operador (personal de la fundación) y Beneficiario (autogestión de turnos, estado de su marco, probador y catálogo). Se integra con: RENAPER (SID) para validar identidad, lectura local del código de barras de la Certificación Negativa de ANSES, 17TRACK para el seguimiento de envíos de Vía Cargo (registro + webhook), Cloudflare R2 para imágenes y PDFs, SMTP para notificaciones y MediaPipe Face Mesh en el navegador para el probador.</w:t>
      </w:r>
    </w:p>
    <w:p>
      <w:pPr>
        <w:pStyle w:val="Heading2"/>
      </w:pPr>
      <w:r>
        <w:t>2.2. Objetivos y Amplitud de la Prueba del Sistema</w:t>
      </w:r>
    </w:p>
    <w:p>
      <w:pPr>
        <w:ind w:left="567"/>
        <w:jc w:val="both"/>
      </w:pPr>
      <w:r>
        <w:t>Este plan de pruebas describe el entorno, actividades, tareas, herramientas y cronogramas para el testing del sistema Banco de Anteojos, desarrollado por el equipo T045 del Proyecto Final de la UTN-FRT. Nuestro objetivo para el testing del sistema es asegurar que:</w:t>
      </w:r>
    </w:p>
    <w:p>
      <w:pPr>
        <w:pStyle w:val="ListBullet"/>
        <w:ind w:left="567"/>
        <w:jc w:val="both"/>
      </w:pPr>
      <w:r>
        <w:t>todas las funcionalidades requeridas están presentes y operan correctamente de acuerdo a los requerimientos;</w:t>
      </w:r>
    </w:p>
    <w:p>
      <w:pPr>
        <w:pStyle w:val="ListBullet"/>
        <w:ind w:left="567"/>
        <w:jc w:val="both"/>
      </w:pPr>
      <w:r>
        <w:t>el software alcanza sus requerimientos de performance;</w:t>
      </w:r>
    </w:p>
    <w:p>
      <w:pPr>
        <w:pStyle w:val="ListBullet"/>
        <w:ind w:left="567"/>
        <w:jc w:val="both"/>
      </w:pPr>
      <w:r>
        <w:t>el software es confiable y robusto, se recupera adecuadamente de fallas (servicios externos caídos);</w:t>
      </w:r>
    </w:p>
    <w:p>
      <w:pPr>
        <w:pStyle w:val="ListBullet"/>
        <w:ind w:left="567"/>
        <w:jc w:val="both"/>
      </w:pPr>
      <w:r>
        <w:t>el software es fácil de usar y mantener;</w:t>
      </w:r>
    </w:p>
    <w:p>
      <w:pPr>
        <w:pStyle w:val="ListBullet"/>
        <w:ind w:left="567"/>
        <w:jc w:val="both"/>
      </w:pPr>
      <w:r>
        <w:t>se relaciona correctamente con el software y hardware externo requerido (17TRACK, almacenamiento, correo, cámara).</w:t>
      </w:r>
    </w:p>
    <w:p>
      <w:pPr>
        <w:ind w:left="567"/>
        <w:jc w:val="both"/>
      </w:pPr>
      <w:r>
        <w:t>Un conjunto completo de pruebas será realizado sobre las funcionalidades del PMV — todas las implementadas, RF-01 a RF-30 —, incluyendo:</w:t>
      </w:r>
    </w:p>
    <w:p>
      <w:pPr>
        <w:pStyle w:val="ListBullet"/>
        <w:ind w:left="567"/>
        <w:jc w:val="both"/>
      </w:pPr>
      <w:r>
        <w:rPr>
          <w:b/>
        </w:rPr>
        <w:t xml:space="preserve">Prueba funcional: </w:t>
      </w:r>
      <w:r>
        <w:t>con esta prueba se pretende verificar que el sistema integrado cumple los requisitos especificados y determinar cuándo está preparado para la prueba de aceptación en el entorno de la fundación. Se utilizará la estrategia de Caja Negra (conducida por los datos o por la entrada/salida): se considera al software como una caja negra, sin considerar el detalle procedimental, y se buscan situaciones donde el programa no se ajusta a su especificación (SRS y casos de uso), usándola como entrada para derivar los casos de prueba: flujo principal, flujos alternativos, particiones de equivalencia y valores límite (p. ej. vigencia de 30 días de la negativa de ANSES).</w:t>
      </w:r>
    </w:p>
    <w:p>
      <w:pPr>
        <w:pStyle w:val="ListBullet"/>
        <w:ind w:left="567"/>
        <w:jc w:val="both"/>
      </w:pPr>
      <w:r>
        <w:rPr>
          <w:b/>
        </w:rPr>
        <w:t xml:space="preserve">Pruebas de seguridad: </w:t>
      </w:r>
      <w:r>
        <w:t>inicio de sesión, permisos de acceso a módulos y funcionalidades por perfil, y acceso del beneficiario únicamente a sus propios recursos.</w:t>
      </w:r>
    </w:p>
    <w:p>
      <w:pPr>
        <w:pStyle w:val="ListBullet"/>
        <w:ind w:left="567"/>
        <w:jc w:val="both"/>
      </w:pPr>
      <w:r>
        <w:rPr>
          <w:b/>
        </w:rPr>
        <w:t xml:space="preserve">Pruebas de integridad sobre la API: </w:t>
      </w:r>
      <w:r>
        <w:t>caja negra contra la API REST para validaciones del borde, reglas de negocio que la interfaz no permite alcanzar, el webhook de 17TRACK y el comportamiento ante servicios externos caídos; se verifica el estado resultante en la base de datos.</w:t>
      </w:r>
    </w:p>
    <w:p>
      <w:pPr>
        <w:pStyle w:val="ListBullet"/>
        <w:ind w:left="567"/>
        <w:jc w:val="both"/>
      </w:pPr>
      <w:r>
        <w:rPr>
          <w:b/>
        </w:rPr>
        <w:t xml:space="preserve">Requisitos no funcionales seleccionados: </w:t>
      </w:r>
      <w:r>
        <w:t>RNF-02, RNF-04, RNF-05, RNF-07, RNF-08 y RNF-11, más una revisión estática puntual de RNF-03 (credenciales fuera del repositorio).</w:t>
      </w:r>
    </w:p>
    <w:p>
      <w:pPr>
        <w:pStyle w:val="Heading2"/>
      </w:pPr>
      <w:r>
        <w:t>2.3. Documentos Relacionados</w:t>
      </w:r>
    </w:p>
    <w:p>
      <w:pPr>
        <w:ind w:left="567"/>
        <w:jc w:val="both"/>
      </w:pPr>
      <w:r>
        <w:t>Los siguientes documentos del repositorio son usados como fuentes de información para el desarrollo de este Plan de Testing:</w:t>
      </w:r>
    </w:p>
    <w:p>
      <w:pPr>
        <w:pStyle w:val="ListBullet"/>
        <w:ind w:left="567"/>
        <w:jc w:val="both"/>
      </w:pPr>
      <w:r>
        <w:t>docs/srs/SRS.docx — Especificación de Requisitos de Software (IEEE 830).</w:t>
      </w:r>
    </w:p>
    <w:p>
      <w:pPr>
        <w:pStyle w:val="ListBullet"/>
        <w:ind w:left="567"/>
        <w:jc w:val="both"/>
      </w:pPr>
      <w:r>
        <w:t>docs/REQUIREMENTS.md — Consolidado de requisitos RF-01 a RF-30 y RNF-01 a RNF-11.</w:t>
      </w:r>
    </w:p>
    <w:p>
      <w:pPr>
        <w:pStyle w:val="ListBullet"/>
        <w:ind w:left="567"/>
        <w:jc w:val="both"/>
      </w:pPr>
      <w:r>
        <w:t>docs/casos-de-uso/CASOS_DE_USO.docx — Casos de uso UC-01 a UC-30.</w:t>
      </w:r>
    </w:p>
    <w:p>
      <w:pPr>
        <w:pStyle w:val="ListBullet"/>
        <w:ind w:left="567"/>
        <w:jc w:val="both"/>
      </w:pPr>
      <w:r>
        <w:t>docs/casos-de-uso-reales/CASOS_DE_USO_REALES.docx — Casos de uso reales RU-01 a RU-19 (pantallas implementadas).</w:t>
      </w:r>
    </w:p>
    <w:p>
      <w:pPr>
        <w:pStyle w:val="ListBullet"/>
        <w:ind w:left="567"/>
        <w:jc w:val="both"/>
      </w:pPr>
      <w:r>
        <w:t>docs/diagrama-casos-de-uso/DIAGRAMA_DE_CASOS_DE_USO.docx — Diagramas de casos de uso.</w:t>
      </w:r>
    </w:p>
    <w:p>
      <w:pPr>
        <w:pStyle w:val="ListBullet"/>
        <w:ind w:left="567"/>
        <w:jc w:val="both"/>
      </w:pPr>
      <w:r>
        <w:t>docs/colaboracion/DIAGRAMAS_DE_COLABORACION.docx — Diagramas de colaboración.</w:t>
      </w:r>
    </w:p>
    <w:p>
      <w:pPr>
        <w:pStyle w:val="ListBullet"/>
        <w:ind w:left="567"/>
        <w:jc w:val="both"/>
      </w:pPr>
      <w:r>
        <w:t>docs/arquitectura/ARQUITECTURA.docx — Documento de Arquitectura de Software.</w:t>
      </w:r>
    </w:p>
    <w:p>
      <w:pPr>
        <w:pStyle w:val="ListBullet"/>
        <w:ind w:left="567"/>
        <w:jc w:val="both"/>
      </w:pPr>
      <w:r>
        <w:t>docs/modelo-dominio/MODELO_DE_DOMINIO.docx — Modelo de Dominio.</w:t>
      </w:r>
    </w:p>
    <w:p>
      <w:pPr>
        <w:pStyle w:val="ListBullet"/>
        <w:ind w:left="567"/>
        <w:jc w:val="both"/>
      </w:pPr>
      <w:r>
        <w:t>docs/modelo-bd/MODELO_BASE_DE_DATOS.docx — Modelo de Datos.</w:t>
      </w:r>
    </w:p>
    <w:p>
      <w:pPr>
        <w:pStyle w:val="ListBullet"/>
        <w:ind w:left="567"/>
        <w:jc w:val="both"/>
      </w:pPr>
      <w:r>
        <w:t>docs/mockups/MOCKUPS.docx — Diseño de interfaz.</w:t>
      </w:r>
    </w:p>
    <w:p>
      <w:pPr>
        <w:pStyle w:val="ListBullet"/>
        <w:ind w:left="567"/>
        <w:jc w:val="both"/>
      </w:pPr>
      <w:r>
        <w:t>docs/TP_ANALISIS_Y_DISENO_BANCO_DE_ANTEOJOS.docx — Trabajo de Análisis y Diseño.</w:t>
      </w:r>
    </w:p>
    <w:p>
      <w:pPr>
        <w:pStyle w:val="ListBullet"/>
        <w:ind w:left="567"/>
        <w:jc w:val="both"/>
      </w:pPr>
      <w:r>
        <w:t>Documentación Testing-20261020/ — Plantillas de la cátedra (Plan de Testing, Casos de Prueba, Defectos, Observaciones).</w:t>
      </w:r>
    </w:p>
    <w:p>
      <w:pPr>
        <w:ind w:left="567"/>
        <w:jc w:val="both"/>
      </w:pPr>
      <w:r>
        <w:t>Los siguientes documentos relacionados con la prueba serán preparados para el sistema (carpeta docs/testing/ciclo-N/; el Ciclo 1 queda como historial en docs/testing/ciclo-1/):</w:t>
      </w:r>
    </w:p>
    <w:p>
      <w:pPr>
        <w:pStyle w:val="ListBullet"/>
        <w:ind w:left="567"/>
        <w:jc w:val="both"/>
      </w:pPr>
      <w:r>
        <w:t>Casos de Prueba - BA - Ciclo - 2.xlsx</w:t>
      </w:r>
    </w:p>
    <w:p>
      <w:pPr>
        <w:pStyle w:val="ListBullet"/>
        <w:ind w:left="567"/>
        <w:jc w:val="both"/>
      </w:pPr>
      <w:r>
        <w:t>Defectos - BA - Ciclo - 2.xlsx</w:t>
      </w:r>
    </w:p>
    <w:p>
      <w:pPr>
        <w:pStyle w:val="ListBullet"/>
        <w:ind w:left="567"/>
        <w:jc w:val="both"/>
      </w:pPr>
      <w:r>
        <w:t>Observaciones y sugerencias - BA - Ciclo - 2.docx</w:t>
      </w:r>
    </w:p>
    <w:p>
      <w:pPr>
        <w:pStyle w:val="ListBullet"/>
        <w:ind w:left="567"/>
        <w:jc w:val="both"/>
      </w:pPr>
      <w:r>
        <w:t>evidencias/ — captura de pantalla de cada caso ejecutado.</w:t>
      </w:r>
    </w:p>
    <w:p>
      <w:pPr>
        <w:pStyle w:val="ListBullet"/>
        <w:ind w:left="567"/>
        <w:jc w:val="both"/>
      </w:pPr>
      <w:r>
        <w:t>docs/REQUIREMENTS.md (main) — notas de cambios de alcance del 22/10 y 26/10/2026 que originan la versión 2.0.</w:t>
      </w:r>
    </w:p>
    <w:p>
      <w:pPr>
        <w:pStyle w:val="Heading1"/>
      </w:pPr>
      <w:r>
        <w:t>3. Ítems a Probar</w:t>
      </w:r>
    </w:p>
    <w:p>
      <w:pPr>
        <w:ind w:left="567"/>
        <w:jc w:val="both"/>
      </w:pPr>
      <w:r>
        <w:t>Todos los ítems que constituyen el sistema Banco de Anteojos serán testeados durante la prueba del sistema para asegurar que funcionan en conjunto e implementan los requerimientos del cliente. Estos ítems están listados a continuación con su identificador y número de versión, y constituyen la configuración a probar:</w:t>
      </w:r>
    </w:p>
    <w:tbl>
      <w:tblPr>
        <w:tblStyle w:val="TableGrid"/>
        <w:tblW w:type="auto" w:w="0"/>
        <w:jc w:val="center"/>
        <w:tblLayout w:type="fixed"/>
        <w:tblLook w:firstColumn="1" w:firstRow="1" w:lastColumn="0" w:lastRow="0" w:noHBand="0" w:noVBand="1" w:val="04A0"/>
      </w:tblPr>
      <w:tblGrid>
        <w:gridCol w:w="3402"/>
        <w:gridCol w:w="2835"/>
        <w:gridCol w:w="3118"/>
      </w:tblGrid>
      <w:tr>
        <w:tc>
          <w:tcPr>
            <w:tcW w:type="dxa" w:w="3402"/>
            <w:shd w:val="clear" w:color="auto" w:fill="DCE6F1"/>
          </w:tcPr>
          <w:p>
            <w:r/>
            <w:r>
              <w:rPr>
                <w:b/>
                <w:sz w:val="18"/>
              </w:rPr>
              <w:t>Nombre</w:t>
            </w:r>
          </w:p>
        </w:tc>
        <w:tc>
          <w:tcPr>
            <w:tcW w:type="dxa" w:w="2835"/>
            <w:shd w:val="clear" w:color="auto" w:fill="DCE6F1"/>
          </w:tcPr>
          <w:p>
            <w:r/>
            <w:r>
              <w:rPr>
                <w:b/>
                <w:sz w:val="18"/>
              </w:rPr>
              <w:t>Identificador</w:t>
            </w:r>
          </w:p>
        </w:tc>
        <w:tc>
          <w:tcPr>
            <w:tcW w:type="dxa" w:w="3118"/>
            <w:shd w:val="clear" w:color="auto" w:fill="DCE6F1"/>
          </w:tcPr>
          <w:p>
            <w:r/>
            <w:r>
              <w:rPr>
                <w:b/>
                <w:sz w:val="18"/>
              </w:rPr>
              <w:t>Número de Versión</w:t>
            </w:r>
          </w:p>
        </w:tc>
      </w:tr>
      <w:tr>
        <w:tc>
          <w:tcPr>
            <w:tcW w:type="dxa" w:w="3402"/>
          </w:tcPr>
          <w:p>
            <w:r/>
            <w:r>
              <w:rPr>
                <w:sz w:val="18"/>
              </w:rPr>
              <w:t>Frontend web (React 19 + Vite 8 + Tailwind 4)</w:t>
            </w:r>
          </w:p>
        </w:tc>
        <w:tc>
          <w:tcPr>
            <w:tcW w:type="dxa" w:w="2835"/>
          </w:tcPr>
          <w:p>
            <w:r/>
            <w:r>
              <w:rPr>
                <w:sz w:val="18"/>
              </w:rPr>
              <w:t>http://localhost:5173</w:t>
            </w:r>
          </w:p>
        </w:tc>
        <w:tc>
          <w:tcPr>
            <w:tcW w:type="dxa" w:w="3118"/>
          </w:tcPr>
          <w:p>
            <w:r/>
            <w:r>
              <w:rPr>
                <w:sz w:val="18"/>
              </w:rPr>
              <w:t>Rama main, commit bd04bb8</w:t>
            </w:r>
          </w:p>
        </w:tc>
      </w:tr>
      <w:tr>
        <w:tc>
          <w:tcPr>
            <w:tcW w:type="dxa" w:w="3402"/>
          </w:tcPr>
          <w:p>
            <w:r/>
            <w:r>
              <w:rPr>
                <w:sz w:val="18"/>
              </w:rPr>
              <w:t>Backend API REST (Spring Boot 4.1, Java 17)</w:t>
            </w:r>
          </w:p>
        </w:tc>
        <w:tc>
          <w:tcPr>
            <w:tcW w:type="dxa" w:w="2835"/>
          </w:tcPr>
          <w:p>
            <w:r/>
            <w:r>
              <w:rPr>
                <w:sz w:val="18"/>
              </w:rPr>
              <w:t>http://localhost:8080/v1</w:t>
            </w:r>
          </w:p>
        </w:tc>
        <w:tc>
          <w:tcPr>
            <w:tcW w:type="dxa" w:w="3118"/>
          </w:tcPr>
          <w:p>
            <w:r/>
            <w:r>
              <w:rPr>
                <w:sz w:val="18"/>
              </w:rPr>
              <w:t>0.0.1-SNAPSHOT (commit bd04bb8)</w:t>
            </w:r>
          </w:p>
        </w:tc>
      </w:tr>
      <w:tr>
        <w:tc>
          <w:tcPr>
            <w:tcW w:type="dxa" w:w="3402"/>
          </w:tcPr>
          <w:p>
            <w:r/>
            <w:r>
              <w:rPr>
                <w:sz w:val="18"/>
              </w:rPr>
              <w:t>Base de datos</w:t>
            </w:r>
          </w:p>
        </w:tc>
        <w:tc>
          <w:tcPr>
            <w:tcW w:type="dxa" w:w="2835"/>
          </w:tcPr>
          <w:p>
            <w:r/>
            <w:r>
              <w:rPr>
                <w:sz w:val="18"/>
              </w:rPr>
              <w:t>PostgreSQL · banco_anteojos</w:t>
            </w:r>
          </w:p>
        </w:tc>
        <w:tc>
          <w:tcPr>
            <w:tcW w:type="dxa" w:w="3118"/>
          </w:tcPr>
          <w:p>
            <w:r/>
            <w:r>
              <w:rPr>
                <w:sz w:val="18"/>
              </w:rPr>
              <w:t>PostgreSQL 16 · esquema Flyway V5 (V1–V17 consolidadas en V1)</w:t>
            </w:r>
          </w:p>
        </w:tc>
      </w:tr>
    </w:tbl>
    <w:p/>
    <w:p>
      <w:pPr>
        <w:pStyle w:val="Heading1"/>
      </w:pPr>
      <w:r>
        <w:t>4. Características a ser Probadas</w:t>
      </w:r>
    </w:p>
    <w:p>
      <w:pPr>
        <w:ind w:left="567"/>
        <w:jc w:val="both"/>
      </w:pPr>
      <w:r>
        <w:t>A continuación se listan las características a ser probadas, agrupadas por módulo del sistema, con la cantidad de casos de prueba diseñados para cada uno:</w:t>
      </w:r>
    </w:p>
    <w:tbl>
      <w:tblPr>
        <w:tblStyle w:val="TableGrid"/>
        <w:tblW w:type="auto" w:w="0"/>
        <w:jc w:val="center"/>
        <w:tblLayout w:type="fixed"/>
        <w:tblLook w:firstColumn="1" w:firstRow="1" w:lastColumn="0" w:lastRow="0" w:noHBand="0" w:noVBand="1" w:val="04A0"/>
      </w:tblPr>
      <w:tblGrid>
        <w:gridCol w:w="1984"/>
        <w:gridCol w:w="6520"/>
        <w:gridCol w:w="850"/>
      </w:tblGrid>
      <w:tr>
        <w:tc>
          <w:tcPr>
            <w:tcW w:type="dxa" w:w="1984"/>
            <w:shd w:val="clear" w:color="auto" w:fill="DCE6F1"/>
          </w:tcPr>
          <w:p>
            <w:r/>
            <w:r>
              <w:rPr>
                <w:b/>
                <w:sz w:val="18"/>
              </w:rPr>
              <w:t>Módulo</w:t>
            </w:r>
          </w:p>
        </w:tc>
        <w:tc>
          <w:tcPr>
            <w:tcW w:type="dxa" w:w="6520"/>
            <w:shd w:val="clear" w:color="auto" w:fill="DCE6F1"/>
          </w:tcPr>
          <w:p>
            <w:r/>
            <w:r>
              <w:rPr>
                <w:b/>
                <w:sz w:val="18"/>
              </w:rPr>
              <w:t>Características</w:t>
            </w:r>
          </w:p>
        </w:tc>
        <w:tc>
          <w:tcPr>
            <w:tcW w:type="dxa" w:w="850"/>
            <w:shd w:val="clear" w:color="auto" w:fill="DCE6F1"/>
          </w:tcPr>
          <w:p>
            <w:r/>
            <w:r>
              <w:rPr>
                <w:b/>
                <w:sz w:val="18"/>
              </w:rPr>
              <w:t>Casos</w:t>
            </w:r>
          </w:p>
        </w:tc>
      </w:tr>
      <w:tr>
        <w:tc>
          <w:tcPr>
            <w:tcW w:type="dxa" w:w="1984"/>
          </w:tcPr>
          <w:p>
            <w:r/>
            <w:r>
              <w:rPr>
                <w:sz w:val="18"/>
              </w:rPr>
              <w:t>Seguridad</w:t>
            </w:r>
          </w:p>
        </w:tc>
        <w:tc>
          <w:tcPr>
            <w:tcW w:type="dxa" w:w="6520"/>
          </w:tcPr>
          <w:p>
            <w:r/>
            <w:r>
              <w:rPr>
                <w:sz w:val="18"/>
              </w:rPr>
              <w:t>Inicio y cierre de sesión (con confirmación), permisos por perfil, acceso a recursos propios, credenciales e instalación (RNF-01, RNF-03)</w:t>
            </w:r>
          </w:p>
        </w:tc>
        <w:tc>
          <w:tcPr>
            <w:tcW w:type="dxa" w:w="850"/>
          </w:tcPr>
          <w:p>
            <w:r/>
            <w:r>
              <w:rPr>
                <w:sz w:val="18"/>
              </w:rPr>
              <w:t>14</w:t>
            </w:r>
          </w:p>
        </w:tc>
      </w:tr>
      <w:tr>
        <w:tc>
          <w:tcPr>
            <w:tcW w:type="dxa" w:w="1984"/>
          </w:tcPr>
          <w:p>
            <w:r/>
            <w:r>
              <w:rPr>
                <w:sz w:val="18"/>
              </w:rPr>
              <w:t>Solicitantes</w:t>
            </w:r>
          </w:p>
        </w:tc>
        <w:tc>
          <w:tcPr>
            <w:tcW w:type="dxa" w:w="6520"/>
          </w:tcPr>
          <w:p>
            <w:r/>
            <w:r>
              <w:rPr>
                <w:sz w:val="18"/>
              </w:rPr>
              <w:t>Alta y autoregistro, búsqueda y listado paginado, negativa de ANSES, identidad, recetas (también solo con el PDF) y, nuevo, el portal «Mi perfil» del beneficiario: datos personales, negativa de ANSES y receta propias (RF-01 a RF-08)</w:t>
            </w:r>
          </w:p>
        </w:tc>
        <w:tc>
          <w:tcPr>
            <w:tcW w:type="dxa" w:w="850"/>
          </w:tcPr>
          <w:p>
            <w:r/>
            <w:r>
              <w:rPr>
                <w:sz w:val="18"/>
              </w:rPr>
              <w:t>37</w:t>
            </w:r>
          </w:p>
        </w:tc>
      </w:tr>
      <w:tr>
        <w:tc>
          <w:tcPr>
            <w:tcW w:type="dxa" w:w="1984"/>
          </w:tcPr>
          <w:p>
            <w:r/>
            <w:r>
              <w:rPr>
                <w:sz w:val="18"/>
              </w:rPr>
              <w:t>Donaciones</w:t>
            </w:r>
          </w:p>
        </w:tc>
        <w:tc>
          <w:tcPr>
            <w:tcW w:type="dxa" w:w="6520"/>
          </w:tcPr>
          <w:p>
            <w:r/>
            <w:r>
              <w:rPr>
                <w:sz w:val="18"/>
              </w:rPr>
              <w:t>Alta de donantes con domicilio, recepción y clasificación de marcos, búsqueda y consulta por donante (RF-09 a RF-12)</w:t>
            </w:r>
          </w:p>
        </w:tc>
        <w:tc>
          <w:tcPr>
            <w:tcW w:type="dxa" w:w="850"/>
          </w:tcPr>
          <w:p>
            <w:r/>
            <w:r>
              <w:rPr>
                <w:sz w:val="18"/>
              </w:rPr>
              <w:t>9</w:t>
            </w:r>
          </w:p>
        </w:tc>
      </w:tr>
      <w:tr>
        <w:tc>
          <w:tcPr>
            <w:tcW w:type="dxa" w:w="1984"/>
          </w:tcPr>
          <w:p>
            <w:r/>
            <w:r>
              <w:rPr>
                <w:sz w:val="18"/>
              </w:rPr>
              <w:t>Inventario</w:t>
            </w:r>
          </w:p>
        </w:tc>
        <w:tc>
          <w:tcPr>
            <w:tcW w:type="dxa" w:w="6520"/>
          </w:tcPr>
          <w:p>
            <w:r/>
            <w:r>
              <w:rPr>
                <w:sz w:val="18"/>
              </w:rPr>
              <w:t>Inventario paginado con buscador por precinto, edición, baja lógica y foto del marco (RF-13)</w:t>
            </w:r>
          </w:p>
        </w:tc>
        <w:tc>
          <w:tcPr>
            <w:tcW w:type="dxa" w:w="850"/>
          </w:tcPr>
          <w:p>
            <w:r/>
            <w:r>
              <w:rPr>
                <w:sz w:val="18"/>
              </w:rPr>
              <w:t>6</w:t>
            </w:r>
          </w:p>
        </w:tc>
      </w:tr>
      <w:tr>
        <w:tc>
          <w:tcPr>
            <w:tcW w:type="dxa" w:w="1984"/>
          </w:tcPr>
          <w:p>
            <w:r/>
            <w:r>
              <w:rPr>
                <w:sz w:val="18"/>
              </w:rPr>
              <w:t>Asignaciones</w:t>
            </w:r>
          </w:p>
        </w:tc>
        <w:tc>
          <w:tcPr>
            <w:tcW w:type="dxa" w:w="6520"/>
          </w:tcPr>
          <w:p>
            <w:r/>
            <w:r>
              <w:rPr>
                <w:sz w:val="18"/>
              </w:rPr>
              <w:t>Match receta↔marco y asignación con selector de marcos, advertencias de elegibilidad (RF-14, RF-15)</w:t>
            </w:r>
          </w:p>
        </w:tc>
        <w:tc>
          <w:tcPr>
            <w:tcW w:type="dxa" w:w="850"/>
          </w:tcPr>
          <w:p>
            <w:r/>
            <w:r>
              <w:rPr>
                <w:sz w:val="18"/>
              </w:rPr>
              <w:t>5</w:t>
            </w:r>
          </w:p>
        </w:tc>
      </w:tr>
      <w:tr>
        <w:tc>
          <w:tcPr>
            <w:tcW w:type="dxa" w:w="1984"/>
          </w:tcPr>
          <w:p>
            <w:r/>
            <w:r>
              <w:rPr>
                <w:sz w:val="18"/>
              </w:rPr>
              <w:t>Trazabilidad</w:t>
            </w:r>
          </w:p>
        </w:tc>
        <w:tc>
          <w:tcPr>
            <w:tcW w:type="dxa" w:w="6520"/>
          </w:tcPr>
          <w:p>
            <w:r/>
            <w:r>
              <w:rPr>
                <w:sz w:val="18"/>
              </w:rPr>
              <w:t>Hitos óptica → retorno → entrega con foto opcional y aviso al donante, cancelación, vista del beneficiario (RF-16)</w:t>
            </w:r>
          </w:p>
        </w:tc>
        <w:tc>
          <w:tcPr>
            <w:tcW w:type="dxa" w:w="850"/>
          </w:tcPr>
          <w:p>
            <w:r/>
            <w:r>
              <w:rPr>
                <w:sz w:val="18"/>
              </w:rPr>
              <w:t>7</w:t>
            </w:r>
          </w:p>
        </w:tc>
      </w:tr>
      <w:tr>
        <w:tc>
          <w:tcPr>
            <w:tcW w:type="dxa" w:w="1984"/>
          </w:tcPr>
          <w:p>
            <w:r/>
            <w:r>
              <w:rPr>
                <w:sz w:val="18"/>
              </w:rPr>
              <w:t>Probador virtual</w:t>
            </w:r>
          </w:p>
        </w:tc>
        <w:tc>
          <w:tcPr>
            <w:tcW w:type="dxa" w:w="6520"/>
          </w:tcPr>
          <w:p>
            <w:r/>
            <w:r>
              <w:rPr>
                <w:sz w:val="18"/>
              </w:rPr>
              <w:t>Detección de rostro, superposición 2D, selección de marcos, privacidad y, nuevo, reserva del marco por 7 días: requisitos, cancelación, asignación de lo reservado y vencimiento (RF-17 a RF-19, RNF-04)</w:t>
            </w:r>
          </w:p>
        </w:tc>
        <w:tc>
          <w:tcPr>
            <w:tcW w:type="dxa" w:w="850"/>
          </w:tcPr>
          <w:p>
            <w:r/>
            <w:r>
              <w:rPr>
                <w:sz w:val="18"/>
              </w:rPr>
              <w:t>13</w:t>
            </w:r>
          </w:p>
        </w:tc>
      </w:tr>
      <w:tr>
        <w:tc>
          <w:tcPr>
            <w:tcW w:type="dxa" w:w="1984"/>
          </w:tcPr>
          <w:p>
            <w:r/>
            <w:r>
              <w:rPr>
                <w:sz w:val="18"/>
              </w:rPr>
              <w:t>Turnos</w:t>
            </w:r>
          </w:p>
        </w:tc>
        <w:tc>
          <w:tcPr>
            <w:tcW w:type="dxa" w:w="6520"/>
          </w:tcPr>
          <w:p>
            <w:r/>
            <w:r>
              <w:rPr>
                <w:sz w:val="18"/>
              </w:rPr>
              <w:t>Días de atención, turnos del staff y de autogestión, comprobantes (incluidos los bancarios y los PDF sin texto), revisión, reprogramación, asistencia, notificaciones (RF-20 a RF-22)</w:t>
            </w:r>
          </w:p>
        </w:tc>
        <w:tc>
          <w:tcPr>
            <w:tcW w:type="dxa" w:w="850"/>
          </w:tcPr>
          <w:p>
            <w:r/>
            <w:r>
              <w:rPr>
                <w:sz w:val="18"/>
              </w:rPr>
              <w:t>20</w:t>
            </w:r>
          </w:p>
        </w:tc>
      </w:tr>
      <w:tr>
        <w:tc>
          <w:tcPr>
            <w:tcW w:type="dxa" w:w="1984"/>
          </w:tcPr>
          <w:p>
            <w:r/>
            <w:r>
              <w:rPr>
                <w:sz w:val="18"/>
              </w:rPr>
              <w:t>Envíos</w:t>
            </w:r>
          </w:p>
        </w:tc>
        <w:tc>
          <w:tcPr>
            <w:tcW w:type="dxa" w:w="6520"/>
          </w:tcPr>
          <w:p>
            <w:r/>
            <w:r>
              <w:rPr>
                <w:sz w:val="18"/>
              </w:rPr>
              <w:t>Envíos entre sucursales y, nuevo, donaciones que llegan por Vía Cargo: registro con la Guía No., 17TRACK, webhook, recepción con los marcos y listado por tipo (RF-23 a RF-25)</w:t>
            </w:r>
          </w:p>
        </w:tc>
        <w:tc>
          <w:tcPr>
            <w:tcW w:type="dxa" w:w="850"/>
          </w:tcPr>
          <w:p>
            <w:r/>
            <w:r>
              <w:rPr>
                <w:sz w:val="18"/>
              </w:rPr>
              <w:t>19</w:t>
            </w:r>
          </w:p>
        </w:tc>
      </w:tr>
      <w:tr>
        <w:tc>
          <w:tcPr>
            <w:tcW w:type="dxa" w:w="1984"/>
          </w:tcPr>
          <w:p>
            <w:r/>
            <w:r>
              <w:rPr>
                <w:sz w:val="18"/>
              </w:rPr>
              <w:t>Indicadores</w:t>
            </w:r>
          </w:p>
        </w:tc>
        <w:tc>
          <w:tcPr>
            <w:tcW w:type="dxa" w:w="6520"/>
          </w:tcPr>
          <w:p>
            <w:r/>
            <w:r>
              <w:rPr>
                <w:sz w:val="18"/>
              </w:rPr>
              <w:t>Panel de impacto y filtro por período (RF-26, RF-27)</w:t>
            </w:r>
          </w:p>
        </w:tc>
        <w:tc>
          <w:tcPr>
            <w:tcW w:type="dxa" w:w="850"/>
          </w:tcPr>
          <w:p>
            <w:r/>
            <w:r>
              <w:rPr>
                <w:sz w:val="18"/>
              </w:rPr>
              <w:t>3</w:t>
            </w:r>
          </w:p>
        </w:tc>
      </w:tr>
      <w:tr>
        <w:tc>
          <w:tcPr>
            <w:tcW w:type="dxa" w:w="1984"/>
          </w:tcPr>
          <w:p>
            <w:r/>
            <w:r>
              <w:rPr>
                <w:sz w:val="18"/>
              </w:rPr>
              <w:t>Catálogo</w:t>
            </w:r>
          </w:p>
        </w:tc>
        <w:tc>
          <w:tcPr>
            <w:tcW w:type="dxa" w:w="6520"/>
          </w:tcPr>
          <w:p>
            <w:r/>
            <w:r>
              <w:rPr>
                <w:sz w:val="18"/>
              </w:rPr>
              <w:t>Catálogo de unidades únicas con foto: alta, edición, venta (pasa a Vendido), baja y vista del beneficiario (RF-28 a RF-30)</w:t>
            </w:r>
          </w:p>
        </w:tc>
        <w:tc>
          <w:tcPr>
            <w:tcW w:type="dxa" w:w="850"/>
          </w:tcPr>
          <w:p>
            <w:r/>
            <w:r>
              <w:rPr>
                <w:sz w:val="18"/>
              </w:rPr>
              <w:t>9</w:t>
            </w:r>
          </w:p>
        </w:tc>
      </w:tr>
      <w:tr>
        <w:tc>
          <w:tcPr>
            <w:tcW w:type="dxa" w:w="1984"/>
          </w:tcPr>
          <w:p>
            <w:r/>
            <w:r>
              <w:rPr>
                <w:sz w:val="18"/>
              </w:rPr>
              <w:t>Requisitos no funcionales</w:t>
            </w:r>
          </w:p>
        </w:tc>
        <w:tc>
          <w:tcPr>
            <w:tcW w:type="dxa" w:w="6520"/>
          </w:tcPr>
          <w:p>
            <w:r/>
            <w:r>
              <w:rPr>
                <w:sz w:val="18"/>
              </w:rPr>
              <w:t>Errores sin detalles internos, datos sensibles en logs, indicadores de carga, tiempos de respuesta con volumen, uso móvil y navegadores (RNF-02, 05, 08, 11)</w:t>
            </w:r>
          </w:p>
        </w:tc>
        <w:tc>
          <w:tcPr>
            <w:tcW w:type="dxa" w:w="850"/>
          </w:tcPr>
          <w:p>
            <w:r/>
            <w:r>
              <w:rPr>
                <w:sz w:val="18"/>
              </w:rPr>
              <w:t>6</w:t>
            </w:r>
          </w:p>
        </w:tc>
      </w:tr>
      <w:tr>
        <w:tc>
          <w:tcPr>
            <w:tcW w:type="dxa" w:w="1984"/>
          </w:tcPr>
          <w:p>
            <w:r/>
            <w:r>
              <w:rPr>
                <w:sz w:val="18"/>
              </w:rPr>
              <w:t>Total</w:t>
            </w:r>
          </w:p>
        </w:tc>
        <w:tc>
          <w:tcPr>
            <w:tcW w:type="dxa" w:w="6520"/>
          </w:tcPr>
          <w:p>
            <w:r/>
            <w:r>
              <w:rPr>
                <w:sz w:val="18"/>
              </w:rPr>
            </w:r>
          </w:p>
        </w:tc>
        <w:tc>
          <w:tcPr>
            <w:tcW w:type="dxa" w:w="850"/>
          </w:tcPr>
          <w:p>
            <w:r/>
            <w:r>
              <w:rPr>
                <w:sz w:val="18"/>
              </w:rPr>
              <w:t>148</w:t>
            </w:r>
          </w:p>
        </w:tc>
      </w:tr>
    </w:tbl>
    <w:p/>
    <w:p>
      <w:pPr>
        <w:pStyle w:val="Heading2"/>
      </w:pPr>
      <w:r>
        <w:t>4.1. Características que no serán probadas en este ciclo</w:t>
      </w:r>
    </w:p>
    <w:p>
      <w:pPr>
        <w:pStyle w:val="ListBullet"/>
        <w:ind w:left="567"/>
        <w:jc w:val="both"/>
      </w:pPr>
      <w:r>
        <w:rPr>
          <w:b/>
        </w:rPr>
        <w:t xml:space="preserve">RF-02 – Validación de identidad vía RENAPER (SID): </w:t>
      </w:r>
      <w:r>
        <w:t>la fundación todavía no tiene acceso al SID (convenio de confronte de datos por TAD en trámite). Se deja documentado el caso TC-BA-RF02-01 como N/A.</w:t>
      </w:r>
    </w:p>
    <w:p>
      <w:pPr>
        <w:pStyle w:val="ListBullet"/>
        <w:ind w:left="567"/>
        <w:jc w:val="both"/>
      </w:pPr>
      <w:r>
        <w:rPr>
          <w:b/>
        </w:rPr>
        <w:t xml:space="preserve">RNF-06 – Despliegue en Render: </w:t>
      </w:r>
      <w:r>
        <w:t>por decisión del equipo, el ciclo se ejecuta en un entorno local de testing y no sobre el despliegue productivo.</w:t>
      </w:r>
    </w:p>
    <w:p>
      <w:pPr>
        <w:pStyle w:val="ListBullet"/>
        <w:ind w:left="567"/>
        <w:jc w:val="both"/>
      </w:pPr>
      <w:r>
        <w:rPr>
          <w:b/>
        </w:rPr>
        <w:t xml:space="preserve">RNF-10 – Arquitectura en capas: </w:t>
      </w:r>
      <w:r>
        <w:t>se verifica en la revisión de diseño (Documento de Arquitectura), no con pruebas funcionales.</w:t>
      </w:r>
    </w:p>
    <w:p>
      <w:pPr>
        <w:pStyle w:val="ListBullet"/>
        <w:ind w:left="567"/>
        <w:jc w:val="both"/>
      </w:pPr>
      <w:r>
        <w:rPr>
          <w:b/>
        </w:rPr>
        <w:t xml:space="preserve">RNF-11 en Firefox, Edge y Safari: </w:t>
      </w:r>
      <w:r>
        <w:t>el entorno de testing solo dispone de Chromium; queda para el ciclo 3 (TC-BA-RNF11-02, Bloqueado).</w:t>
      </w:r>
    </w:p>
    <w:p>
      <w:pPr>
        <w:pStyle w:val="Heading1"/>
      </w:pPr>
      <w:r>
        <w:t>5. Aproximación</w:t>
      </w:r>
    </w:p>
    <w:p>
      <w:pPr>
        <w:ind w:left="567"/>
        <w:jc w:val="both"/>
      </w:pPr>
      <w:r>
        <w:t>Las pruebas las lleva a cabo el equipo del proyecto T045 aplicando prueba cruzada: cada módulo lo prueba un integrante distinto de quien lo desarrolló, para evitar el sesgo de quien conoce la implementación.</w:t>
      </w:r>
    </w:p>
    <w:p>
      <w:pPr>
        <w:pStyle w:val="Heading2"/>
      </w:pPr>
      <w:r>
        <w:t>5.1. Fuentes de Datos de Ejemplos del Dominio</w:t>
      </w:r>
    </w:p>
    <w:p>
      <w:pPr>
        <w:ind w:left="567"/>
        <w:jc w:val="both"/>
      </w:pPr>
      <w:r>
        <w:t>Para no exponer datos personales (Ley 25.326) se usan exclusivamente datos sintéticos: DNI ficticios, certificaciones negativas de ANSES generadas con el mismo formato que el PDF original (código de barras Code 128 "CUIL-NroTransacción" y la leyenda "Fecha de emisión: dd/mm/aaaa") para fechas de emisión vigentes, vencidas, en el límite de 30 días y futuras; comprobantes de pago en PDF y PNG; fotos de marcos en PNG con fondo transparente y el retrato de prueba que publica MediaPipe para la detección de rostro (en las evidencias se muestra desenfocado). Para validar la verosimilitud de graduaciones, precintos y medidas de marcos se requerirá el asesoramiento del personal de la fundación (área usuaria) antes de la prueba de aceptación.</w:t>
      </w:r>
    </w:p>
    <w:p>
      <w:pPr>
        <w:pStyle w:val="Heading2"/>
      </w:pPr>
      <w:r>
        <w:t>5.2. Personal</w:t>
      </w:r>
    </w:p>
    <w:p>
      <w:pPr>
        <w:ind w:left="567"/>
        <w:jc w:val="both"/>
      </w:pPr>
      <w:r>
        <w:t>Los cuatro integrantes del equipo son responsables del diseño de los casos de prueba, su ejecución y la registración de los resultados, con la siguiente distribución (supervisión: revisión conjunta en la reunión semanal del equipo):</w:t>
      </w:r>
    </w:p>
    <w:tbl>
      <w:tblPr>
        <w:tblStyle w:val="TableGrid"/>
        <w:tblW w:type="auto" w:w="0"/>
        <w:jc w:val="center"/>
        <w:tblLayout w:type="fixed"/>
        <w:tblLook w:firstColumn="1" w:firstRow="1" w:lastColumn="0" w:lastRow="0" w:noHBand="0" w:noVBand="1" w:val="04A0"/>
      </w:tblPr>
      <w:tblGrid>
        <w:gridCol w:w="1984"/>
        <w:gridCol w:w="2268"/>
        <w:gridCol w:w="4252"/>
        <w:gridCol w:w="850"/>
      </w:tblGrid>
      <w:tr>
        <w:tc>
          <w:tcPr>
            <w:tcW w:type="dxa" w:w="1984"/>
            <w:shd w:val="clear" w:color="auto" w:fill="DCE6F1"/>
          </w:tcPr>
          <w:p>
            <w:r/>
            <w:r>
              <w:rPr>
                <w:b/>
                <w:sz w:val="18"/>
              </w:rPr>
              <w:t>Tester</w:t>
            </w:r>
          </w:p>
        </w:tc>
        <w:tc>
          <w:tcPr>
            <w:tcW w:type="dxa" w:w="2268"/>
            <w:shd w:val="clear" w:color="auto" w:fill="DCE6F1"/>
          </w:tcPr>
          <w:p>
            <w:r/>
            <w:r>
              <w:rPr>
                <w:b/>
                <w:sz w:val="18"/>
              </w:rPr>
              <w:t>Rol en el desarrollo</w:t>
            </w:r>
          </w:p>
        </w:tc>
        <w:tc>
          <w:tcPr>
            <w:tcW w:type="dxa" w:w="4252"/>
            <w:shd w:val="clear" w:color="auto" w:fill="DCE6F1"/>
          </w:tcPr>
          <w:p>
            <w:r/>
            <w:r>
              <w:rPr>
                <w:b/>
                <w:sz w:val="18"/>
              </w:rPr>
              <w:t>Módulos que prueba</w:t>
            </w:r>
          </w:p>
        </w:tc>
        <w:tc>
          <w:tcPr>
            <w:tcW w:type="dxa" w:w="850"/>
            <w:shd w:val="clear" w:color="auto" w:fill="DCE6F1"/>
          </w:tcPr>
          <w:p>
            <w:r/>
            <w:r>
              <w:rPr>
                <w:b/>
                <w:sz w:val="18"/>
              </w:rPr>
              <w:t>Casos</w:t>
            </w:r>
          </w:p>
        </w:tc>
      </w:tr>
      <w:tr>
        <w:tc>
          <w:tcPr>
            <w:tcW w:type="dxa" w:w="1984"/>
          </w:tcPr>
          <w:p>
            <w:r/>
            <w:r>
              <w:rPr>
                <w:sz w:val="18"/>
              </w:rPr>
              <w:t>Ochoa, Ivan</w:t>
            </w:r>
          </w:p>
        </w:tc>
        <w:tc>
          <w:tcPr>
            <w:tcW w:type="dxa" w:w="2268"/>
          </w:tcPr>
          <w:p>
            <w:r/>
            <w:r>
              <w:rPr>
                <w:sz w:val="18"/>
              </w:rPr>
              <w:t>Backend / seguridad</w:t>
            </w:r>
          </w:p>
        </w:tc>
        <w:tc>
          <w:tcPr>
            <w:tcW w:type="dxa" w:w="4252"/>
          </w:tcPr>
          <w:p>
            <w:r/>
            <w:r>
              <w:rPr>
                <w:sz w:val="18"/>
              </w:rPr>
              <w:t>Turnos, Catálogo</w:t>
            </w:r>
          </w:p>
        </w:tc>
        <w:tc>
          <w:tcPr>
            <w:tcW w:type="dxa" w:w="850"/>
          </w:tcPr>
          <w:p>
            <w:r/>
            <w:r>
              <w:rPr>
                <w:sz w:val="18"/>
              </w:rPr>
              <w:t>29</w:t>
            </w:r>
          </w:p>
        </w:tc>
      </w:tr>
      <w:tr>
        <w:tc>
          <w:tcPr>
            <w:tcW w:type="dxa" w:w="1984"/>
          </w:tcPr>
          <w:p>
            <w:r/>
            <w:r>
              <w:rPr>
                <w:sz w:val="18"/>
              </w:rPr>
              <w:t>Ocaranza, Javier</w:t>
            </w:r>
          </w:p>
        </w:tc>
        <w:tc>
          <w:tcPr>
            <w:tcW w:type="dxa" w:w="2268"/>
          </w:tcPr>
          <w:p>
            <w:r/>
            <w:r>
              <w:rPr>
                <w:sz w:val="18"/>
              </w:rPr>
              <w:t>Frontend / UI / MediaPipe</w:t>
            </w:r>
          </w:p>
        </w:tc>
        <w:tc>
          <w:tcPr>
            <w:tcW w:type="dxa" w:w="4252"/>
          </w:tcPr>
          <w:p>
            <w:r/>
            <w:r>
              <w:rPr>
                <w:sz w:val="18"/>
              </w:rPr>
              <w:t>Donaciones, Inventario, Asignaciones, Trazabilidad, Requisitos no funcionales</w:t>
            </w:r>
          </w:p>
        </w:tc>
        <w:tc>
          <w:tcPr>
            <w:tcW w:type="dxa" w:w="850"/>
          </w:tcPr>
          <w:p>
            <w:r/>
            <w:r>
              <w:rPr>
                <w:sz w:val="18"/>
              </w:rPr>
              <w:t>33</w:t>
            </w:r>
          </w:p>
        </w:tc>
      </w:tr>
      <w:tr>
        <w:tc>
          <w:tcPr>
            <w:tcW w:type="dxa" w:w="1984"/>
          </w:tcPr>
          <w:p>
            <w:r/>
            <w:r>
              <w:rPr>
                <w:sz w:val="18"/>
              </w:rPr>
              <w:t>Sleiman, Julieta</w:t>
            </w:r>
          </w:p>
        </w:tc>
        <w:tc>
          <w:tcPr>
            <w:tcW w:type="dxa" w:w="2268"/>
          </w:tcPr>
          <w:p>
            <w:r/>
            <w:r>
              <w:rPr>
                <w:sz w:val="18"/>
              </w:rPr>
              <w:t>Análisis / documentación / storage</w:t>
            </w:r>
          </w:p>
        </w:tc>
        <w:tc>
          <w:tcPr>
            <w:tcW w:type="dxa" w:w="4252"/>
          </w:tcPr>
          <w:p>
            <w:r/>
            <w:r>
              <w:rPr>
                <w:sz w:val="18"/>
              </w:rPr>
              <w:t>Seguridad, Envíos, Indicadores</w:t>
            </w:r>
          </w:p>
        </w:tc>
        <w:tc>
          <w:tcPr>
            <w:tcW w:type="dxa" w:w="850"/>
          </w:tcPr>
          <w:p>
            <w:r/>
            <w:r>
              <w:rPr>
                <w:sz w:val="18"/>
              </w:rPr>
              <w:t>36</w:t>
            </w:r>
          </w:p>
        </w:tc>
      </w:tr>
      <w:tr>
        <w:tc>
          <w:tcPr>
            <w:tcW w:type="dxa" w:w="1984"/>
          </w:tcPr>
          <w:p>
            <w:r/>
            <w:r>
              <w:rPr>
                <w:sz w:val="18"/>
              </w:rPr>
              <w:t>Ponce, Facundo</w:t>
            </w:r>
          </w:p>
        </w:tc>
        <w:tc>
          <w:tcPr>
            <w:tcW w:type="dxa" w:w="2268"/>
          </w:tcPr>
          <w:p>
            <w:r/>
            <w:r>
              <w:rPr>
                <w:sz w:val="18"/>
              </w:rPr>
              <w:t>Backend / logística / DevOps</w:t>
            </w:r>
          </w:p>
        </w:tc>
        <w:tc>
          <w:tcPr>
            <w:tcW w:type="dxa" w:w="4252"/>
          </w:tcPr>
          <w:p>
            <w:r/>
            <w:r>
              <w:rPr>
                <w:sz w:val="18"/>
              </w:rPr>
              <w:t>Solicitantes, Probador virtual</w:t>
            </w:r>
          </w:p>
        </w:tc>
        <w:tc>
          <w:tcPr>
            <w:tcW w:type="dxa" w:w="850"/>
          </w:tcPr>
          <w:p>
            <w:r/>
            <w:r>
              <w:rPr>
                <w:sz w:val="18"/>
              </w:rPr>
              <w:t>50</w:t>
            </w:r>
          </w:p>
        </w:tc>
      </w:tr>
    </w:tbl>
    <w:p/>
    <w:p>
      <w:pPr>
        <w:pStyle w:val="Heading2"/>
      </w:pPr>
      <w:r>
        <w:t>5.3. Registro</w:t>
      </w:r>
    </w:p>
    <w:p>
      <w:pPr>
        <w:ind w:left="567"/>
        <w:jc w:val="both"/>
      </w:pPr>
      <w:r>
        <w:t>Todos los eventos observados durante la ejecución se registran en la hoja de cada caso (resultado obtenido, observaciones y captura de pantalla en la carpeta evidencias/). Los archivos relativos a las pruebas se versionan en el repositorio del proyecto (GitHub, carpeta docs/testing/ciclo-N), en lugar del SVN de la plantilla. Todas las fallas tienen asignado un nivel de severidad y se registran como reporte de incidente en la planilla de Defectos. La productividad del equipo se monitorea con la cantidad de casos construidos y ejecutados por semana.</w:t>
      </w:r>
    </w:p>
    <w:p>
      <w:pPr>
        <w:pStyle w:val="Heading2"/>
      </w:pPr>
      <w:r>
        <w:t>5.4. Estado de la Prueba e Indicadores</w:t>
      </w:r>
    </w:p>
    <w:p>
      <w:pPr>
        <w:ind w:left="567"/>
        <w:jc w:val="both"/>
      </w:pPr>
      <w:r>
        <w:t>La prueba del sistema se sigue en la reunión semanal del equipo. Indicadores al cierre del Ciclo 2, comparados con el Ciclo 1:</w:t>
      </w:r>
    </w:p>
    <w:tbl>
      <w:tblPr>
        <w:tblStyle w:val="TableGrid"/>
        <w:tblW w:type="auto" w:w="0"/>
        <w:jc w:val="center"/>
        <w:tblLayout w:type="fixed"/>
        <w:tblLook w:firstColumn="1" w:firstRow="1" w:lastColumn="0" w:lastRow="0" w:noHBand="0" w:noVBand="1" w:val="04A0"/>
      </w:tblPr>
      <w:tblGrid>
        <w:gridCol w:w="3969"/>
        <w:gridCol w:w="1984"/>
        <w:gridCol w:w="3402"/>
      </w:tblGrid>
      <w:tr>
        <w:tc>
          <w:tcPr>
            <w:tcW w:type="dxa" w:w="3969"/>
            <w:shd w:val="clear" w:color="auto" w:fill="DCE6F1"/>
          </w:tcPr>
          <w:p>
            <w:r/>
            <w:r>
              <w:rPr>
                <w:b/>
                <w:sz w:val="18"/>
              </w:rPr>
              <w:t>Indicador</w:t>
            </w:r>
          </w:p>
        </w:tc>
        <w:tc>
          <w:tcPr>
            <w:tcW w:type="dxa" w:w="1984"/>
            <w:shd w:val="clear" w:color="auto" w:fill="DCE6F1"/>
          </w:tcPr>
          <w:p>
            <w:r/>
            <w:r>
              <w:rPr>
                <w:b/>
                <w:sz w:val="18"/>
              </w:rPr>
              <w:t>Ciclo 1 (20/10)</w:t>
            </w:r>
          </w:p>
        </w:tc>
        <w:tc>
          <w:tcPr>
            <w:tcW w:type="dxa" w:w="3402"/>
            <w:shd w:val="clear" w:color="auto" w:fill="DCE6F1"/>
          </w:tcPr>
          <w:p>
            <w:r/>
            <w:r>
              <w:rPr>
                <w:b/>
                <w:sz w:val="18"/>
              </w:rPr>
              <w:t>Ciclo 2 (28/10)</w:t>
            </w:r>
          </w:p>
        </w:tc>
      </w:tr>
      <w:tr>
        <w:tc>
          <w:tcPr>
            <w:tcW w:type="dxa" w:w="3969"/>
          </w:tcPr>
          <w:p>
            <w:r/>
            <w:r>
              <w:rPr>
                <w:sz w:val="18"/>
              </w:rPr>
              <w:t>Requisitos funcionales cubiertos con al menos un caso</w:t>
            </w:r>
          </w:p>
        </w:tc>
        <w:tc>
          <w:tcPr>
            <w:tcW w:type="dxa" w:w="1984"/>
          </w:tcPr>
          <w:p>
            <w:r/>
            <w:r>
              <w:rPr>
                <w:sz w:val="18"/>
              </w:rPr>
              <w:t>30 de 30</w:t>
            </w:r>
          </w:p>
        </w:tc>
        <w:tc>
          <w:tcPr>
            <w:tcW w:type="dxa" w:w="3402"/>
          </w:tcPr>
          <w:p>
            <w:r/>
            <w:r>
              <w:rPr>
                <w:sz w:val="18"/>
              </w:rPr>
              <w:t>30 de 30 (RF-02 con caso N/A)</w:t>
            </w:r>
          </w:p>
        </w:tc>
      </w:tr>
      <w:tr>
        <w:tc>
          <w:tcPr>
            <w:tcW w:type="dxa" w:w="3969"/>
          </w:tcPr>
          <w:p>
            <w:r/>
            <w:r>
              <w:rPr>
                <w:sz w:val="18"/>
              </w:rPr>
              <w:t>Requisitos no funcionales cubiertos</w:t>
            </w:r>
          </w:p>
        </w:tc>
        <w:tc>
          <w:tcPr>
            <w:tcW w:type="dxa" w:w="1984"/>
          </w:tcPr>
          <w:p>
            <w:r/>
            <w:r>
              <w:rPr>
                <w:sz w:val="18"/>
              </w:rPr>
              <w:t>9 de 11</w:t>
            </w:r>
          </w:p>
        </w:tc>
        <w:tc>
          <w:tcPr>
            <w:tcW w:type="dxa" w:w="3402"/>
          </w:tcPr>
          <w:p>
            <w:r/>
            <w:r>
              <w:rPr>
                <w:sz w:val="18"/>
              </w:rPr>
              <w:t>9 de 11</w:t>
            </w:r>
          </w:p>
        </w:tc>
      </w:tr>
      <w:tr>
        <w:tc>
          <w:tcPr>
            <w:tcW w:type="dxa" w:w="3969"/>
          </w:tcPr>
          <w:p>
            <w:r/>
            <w:r>
              <w:rPr>
                <w:sz w:val="18"/>
              </w:rPr>
              <w:t>Casos de prueba elaborados</w:t>
            </w:r>
          </w:p>
        </w:tc>
        <w:tc>
          <w:tcPr>
            <w:tcW w:type="dxa" w:w="1984"/>
          </w:tcPr>
          <w:p>
            <w:r/>
            <w:r>
              <w:rPr>
                <w:sz w:val="18"/>
              </w:rPr>
              <w:t>124</w:t>
            </w:r>
          </w:p>
        </w:tc>
        <w:tc>
          <w:tcPr>
            <w:tcW w:type="dxa" w:w="3402"/>
          </w:tcPr>
          <w:p>
            <w:r/>
            <w:r>
              <w:rPr>
                <w:sz w:val="18"/>
              </w:rPr>
              <w:t>148 (24 nuevos, 26 modificados, 14 de regresión, 84 sin cambios)</w:t>
            </w:r>
          </w:p>
        </w:tc>
      </w:tr>
      <w:tr>
        <w:tc>
          <w:tcPr>
            <w:tcW w:type="dxa" w:w="3969"/>
          </w:tcPr>
          <w:p>
            <w:r/>
            <w:r>
              <w:rPr>
                <w:sz w:val="18"/>
              </w:rPr>
              <w:t>Casos de prueba ejecutados</w:t>
            </w:r>
          </w:p>
        </w:tc>
        <w:tc>
          <w:tcPr>
            <w:tcW w:type="dxa" w:w="1984"/>
          </w:tcPr>
          <w:p>
            <w:r/>
            <w:r>
              <w:rPr>
                <w:sz w:val="18"/>
              </w:rPr>
              <w:t>122</w:t>
            </w:r>
          </w:p>
        </w:tc>
        <w:tc>
          <w:tcPr>
            <w:tcW w:type="dxa" w:w="3402"/>
          </w:tcPr>
          <w:p>
            <w:r/>
            <w:r>
              <w:rPr>
                <w:sz w:val="18"/>
              </w:rPr>
              <w:t>146</w:t>
            </w:r>
          </w:p>
        </w:tc>
      </w:tr>
      <w:tr>
        <w:tc>
          <w:tcPr>
            <w:tcW w:type="dxa" w:w="3969"/>
          </w:tcPr>
          <w:p>
            <w:r/>
            <w:r>
              <w:rPr>
                <w:sz w:val="18"/>
              </w:rPr>
              <w:t>Aprobados</w:t>
            </w:r>
          </w:p>
        </w:tc>
        <w:tc>
          <w:tcPr>
            <w:tcW w:type="dxa" w:w="1984"/>
          </w:tcPr>
          <w:p>
            <w:r/>
            <w:r>
              <w:rPr>
                <w:sz w:val="18"/>
              </w:rPr>
              <w:t>112</w:t>
            </w:r>
          </w:p>
        </w:tc>
        <w:tc>
          <w:tcPr>
            <w:tcW w:type="dxa" w:w="3402"/>
          </w:tcPr>
          <w:p>
            <w:r/>
            <w:r>
              <w:rPr>
                <w:sz w:val="18"/>
              </w:rPr>
              <w:t>140 (2 con faltas de severidad 3-4)</w:t>
            </w:r>
          </w:p>
        </w:tc>
      </w:tr>
      <w:tr>
        <w:tc>
          <w:tcPr>
            <w:tcW w:type="dxa" w:w="3969"/>
          </w:tcPr>
          <w:p>
            <w:r/>
            <w:r>
              <w:rPr>
                <w:sz w:val="18"/>
              </w:rPr>
              <w:t>No aprobados</w:t>
            </w:r>
          </w:p>
        </w:tc>
        <w:tc>
          <w:tcPr>
            <w:tcW w:type="dxa" w:w="1984"/>
          </w:tcPr>
          <w:p>
            <w:r/>
            <w:r>
              <w:rPr>
                <w:sz w:val="18"/>
              </w:rPr>
              <w:t>9</w:t>
            </w:r>
          </w:p>
        </w:tc>
        <w:tc>
          <w:tcPr>
            <w:tcW w:type="dxa" w:w="3402"/>
          </w:tcPr>
          <w:p>
            <w:r/>
            <w:r>
              <w:rPr>
                <w:sz w:val="18"/>
              </w:rPr>
              <w:t>5</w:t>
            </w:r>
          </w:p>
        </w:tc>
      </w:tr>
      <w:tr>
        <w:tc>
          <w:tcPr>
            <w:tcW w:type="dxa" w:w="3969"/>
          </w:tcPr>
          <w:p>
            <w:r/>
            <w:r>
              <w:rPr>
                <w:sz w:val="18"/>
              </w:rPr>
              <w:t>Bloqueados</w:t>
            </w:r>
          </w:p>
        </w:tc>
        <w:tc>
          <w:tcPr>
            <w:tcW w:type="dxa" w:w="1984"/>
          </w:tcPr>
          <w:p>
            <w:r/>
            <w:r>
              <w:rPr>
                <w:sz w:val="18"/>
              </w:rPr>
              <w:t>2</w:t>
            </w:r>
          </w:p>
        </w:tc>
        <w:tc>
          <w:tcPr>
            <w:tcW w:type="dxa" w:w="3402"/>
          </w:tcPr>
          <w:p>
            <w:r/>
            <w:r>
              <w:rPr>
                <w:sz w:val="18"/>
              </w:rPr>
              <w:t>2</w:t>
            </w:r>
          </w:p>
        </w:tc>
      </w:tr>
      <w:tr>
        <w:tc>
          <w:tcPr>
            <w:tcW w:type="dxa" w:w="3969"/>
          </w:tcPr>
          <w:p>
            <w:r/>
            <w:r>
              <w:rPr>
                <w:sz w:val="18"/>
              </w:rPr>
              <w:t>No aplica (N/A)</w:t>
            </w:r>
          </w:p>
        </w:tc>
        <w:tc>
          <w:tcPr>
            <w:tcW w:type="dxa" w:w="1984"/>
          </w:tcPr>
          <w:p>
            <w:r/>
            <w:r>
              <w:rPr>
                <w:sz w:val="18"/>
              </w:rPr>
              <w:t>1</w:t>
            </w:r>
          </w:p>
        </w:tc>
        <w:tc>
          <w:tcPr>
            <w:tcW w:type="dxa" w:w="3402"/>
          </w:tcPr>
          <w:p>
            <w:r/>
            <w:r>
              <w:rPr>
                <w:sz w:val="18"/>
              </w:rPr>
              <w:t>1</w:t>
            </w:r>
          </w:p>
        </w:tc>
      </w:tr>
      <w:tr>
        <w:tc>
          <w:tcPr>
            <w:tcW w:type="dxa" w:w="3969"/>
          </w:tcPr>
          <w:p>
            <w:r/>
            <w:r>
              <w:rPr>
                <w:sz w:val="18"/>
              </w:rPr>
              <w:t>Defectos del Ciclo 1 cerrados en la regresión</w:t>
            </w:r>
          </w:p>
        </w:tc>
        <w:tc>
          <w:tcPr>
            <w:tcW w:type="dxa" w:w="1984"/>
          </w:tcPr>
          <w:p>
            <w:r/>
            <w:r>
              <w:rPr>
                <w:sz w:val="18"/>
              </w:rPr>
              <w:t>—</w:t>
            </w:r>
          </w:p>
        </w:tc>
        <w:tc>
          <w:tcPr>
            <w:tcW w:type="dxa" w:w="3402"/>
          </w:tcPr>
          <w:p>
            <w:r/>
            <w:r>
              <w:rPr>
                <w:sz w:val="18"/>
              </w:rPr>
              <w:t>5 de 13</w:t>
            </w:r>
          </w:p>
        </w:tc>
      </w:tr>
      <w:tr>
        <w:tc>
          <w:tcPr>
            <w:tcW w:type="dxa" w:w="3969"/>
          </w:tcPr>
          <w:p>
            <w:r/>
            <w:r>
              <w:rPr>
                <w:sz w:val="18"/>
              </w:rPr>
              <w:t>Defectos nuevos registrados</w:t>
            </w:r>
          </w:p>
        </w:tc>
        <w:tc>
          <w:tcPr>
            <w:tcW w:type="dxa" w:w="1984"/>
          </w:tcPr>
          <w:p>
            <w:r/>
            <w:r>
              <w:rPr>
                <w:sz w:val="18"/>
              </w:rPr>
              <w:t>13</w:t>
            </w:r>
          </w:p>
        </w:tc>
        <w:tc>
          <w:tcPr>
            <w:tcW w:type="dxa" w:w="3402"/>
          </w:tcPr>
          <w:p>
            <w:r/>
            <w:r>
              <w:rPr>
                <w:sz w:val="18"/>
              </w:rPr>
              <w:t>0</w:t>
            </w:r>
          </w:p>
        </w:tc>
      </w:tr>
      <w:tr>
        <w:tc>
          <w:tcPr>
            <w:tcW w:type="dxa" w:w="3969"/>
          </w:tcPr>
          <w:p>
            <w:r/>
            <w:r>
              <w:rPr>
                <w:sz w:val="18"/>
              </w:rPr>
              <w:t>Defectos abiertos al cierre</w:t>
            </w:r>
          </w:p>
        </w:tc>
        <w:tc>
          <w:tcPr>
            <w:tcW w:type="dxa" w:w="1984"/>
          </w:tcPr>
          <w:p>
            <w:r/>
            <w:r>
              <w:rPr>
                <w:sz w:val="18"/>
              </w:rPr>
              <w:t>13</w:t>
            </w:r>
          </w:p>
        </w:tc>
        <w:tc>
          <w:tcPr>
            <w:tcW w:type="dxa" w:w="3402"/>
          </w:tcPr>
          <w:p>
            <w:r/>
            <w:r>
              <w:rPr>
                <w:sz w:val="18"/>
              </w:rPr>
              <w:t>8: Crítico 0, Alto 2, Medio 5, Bajo 1</w:t>
            </w:r>
          </w:p>
        </w:tc>
      </w:tr>
      <w:tr>
        <w:tc>
          <w:tcPr>
            <w:tcW w:type="dxa" w:w="3969"/>
          </w:tcPr>
          <w:p>
            <w:r/>
            <w:r>
              <w:rPr>
                <w:sz w:val="18"/>
              </w:rPr>
              <w:t>Pruebas automatizadas del backend (complemento)</w:t>
            </w:r>
          </w:p>
        </w:tc>
        <w:tc>
          <w:tcPr>
            <w:tcW w:type="dxa" w:w="1984"/>
          </w:tcPr>
          <w:p>
            <w:r/>
            <w:r>
              <w:rPr>
                <w:sz w:val="18"/>
              </w:rPr>
              <w:t>245 tests, 0 fallas, 1 omitido</w:t>
            </w:r>
          </w:p>
        </w:tc>
        <w:tc>
          <w:tcPr>
            <w:tcW w:type="dxa" w:w="3402"/>
          </w:tcPr>
          <w:p>
            <w:r/>
            <w:r>
              <w:rPr>
                <w:sz w:val="18"/>
              </w:rPr>
              <w:t>./mvnw test: 320 tests, 0 fallas, 1 omitido</w:t>
            </w:r>
          </w:p>
        </w:tc>
      </w:tr>
    </w:tbl>
    <w:p/>
    <w:p>
      <w:pPr>
        <w:pStyle w:val="Heading2"/>
      </w:pPr>
      <w:r>
        <w:t>5.5. Herramientas de Testing</w:t>
      </w:r>
    </w:p>
    <w:p>
      <w:pPr>
        <w:ind w:left="567"/>
        <w:jc w:val="both"/>
      </w:pPr>
      <w:r>
        <w:t>Las pruebas son funcionales de caja negra. Para que cada procedimiento sea repetible en el ciclo de regresión, los pasos de cada caso se ejecutaron con Playwright (Python) sobre Chromium, reproduciendo las acciones del tester sobre la interfaz y capturando la evidencia. Se usaron además: un cliente HTTP para las pruebas sobre la API, psql para verificar el estado en la base de datos, y utilitarios (planillas Excel y documentos Word) para documentar los casos, sus resultados y el registro de defectos. Los servicios externos se reemplazaron en el entorno de testing por simuladores controlados (ver sección 10). La documentación se versiona en Git. Como complemento, el backend cuenta con su suite de pruebas automatizadas (JUnit 5, Mockito, MockMvc), que se ejecuta en cada PR.</w:t>
      </w:r>
    </w:p>
    <w:p>
      <w:pPr>
        <w:pStyle w:val="Heading2"/>
      </w:pPr>
      <w:r>
        <w:t>5.6. Criterio de Terminación de la Prueba</w:t>
      </w:r>
    </w:p>
    <w:p>
      <w:pPr>
        <w:ind w:left="567"/>
        <w:jc w:val="both"/>
      </w:pPr>
      <w:r>
        <w:t>La decisión de terminar la prueba del sistema estará basada en (i) la cobertura de todos los requerimientos y (ii) el número de reportes de incidentes o problemas abiertos. Consideraremos que la prueba del sistema estará completada cuando todos los requerimientos hayan sido cubiertos con al menos un caso de prueba y no haya reportes de problemas o incidentes asociados con defectos de nivel 1-3 (impacto crítico-medio). Aceptaremos el riesgo de que el software aún contenga defectos de bajo nivel de severidad, con un efecto mínimo en los usuarios.</w:t>
      </w:r>
    </w:p>
    <w:p>
      <w:pPr>
        <w:ind w:left="567"/>
        <w:jc w:val="both"/>
      </w:pPr>
      <w:r>
        <w:rPr>
          <w:b/>
        </w:rPr>
        <w:t xml:space="preserve">Estado: </w:t>
      </w:r>
      <w:r>
        <w:t>Al cierre del Ciclo 2 el criterio no se cumple: quedan abiertos 7 defectos de nivel 1 a 3 (Alto 2, Medio 5), por lo que se planifica un Ciclo 3 de regresión.</w:t>
      </w:r>
    </w:p>
    <w:p>
      <w:pPr>
        <w:pStyle w:val="Heading1"/>
      </w:pPr>
      <w:r>
        <w:t>6. Criterio de Aprobación</w:t>
      </w:r>
    </w:p>
    <w:p>
      <w:pPr>
        <w:ind w:left="567"/>
        <w:jc w:val="both"/>
      </w:pPr>
      <w:r>
        <w:t>Los niveles de severidad de los defectos se distribuyen en una escala de 1 a 4, donde 1 es una falta con efecto crítico en el sistema/usuario y 4 indica un efecto bajo. Para este sistema, una prueba será considerada aprobada si la falta observada es clasificada en un nivel 3 o 4: la prueba puede continuar, pero todas las faltas y defectos asociados deben ser registrados y tratados. Los reportes de incidentes y de problemas/defectos se completan para todas las fallas observadas, se remiten a Desarrollo para priorizar su reparación y se verifican luego con la prueba de regresión.</w:t>
      </w:r>
    </w:p>
    <w:p>
      <w:pPr>
        <w:ind w:left="567"/>
        <w:jc w:val="both"/>
      </w:pPr>
      <w:r>
        <w:t>Reglas complementarias adoptadas por el equipo: (a) si la funcionalidad especificada en el SRS no está implementada, el caso es No Aprobado sin importar la severidad asignada; (b) si el caso no puede ejecutarse por una restricción externa al sistema (p. ej. sin acceso a RENAPER) se marca N/A; (c) si lo impide el entorno de testing, Bloqueado.</w:t>
      </w:r>
    </w:p>
    <w:p>
      <w:pPr>
        <w:pStyle w:val="Heading1"/>
      </w:pPr>
      <w:r>
        <w:t>7. Criterio de Suspensión / Recomienzo</w:t>
      </w:r>
    </w:p>
    <w:p>
      <w:pPr>
        <w:ind w:left="567"/>
        <w:jc w:val="both"/>
      </w:pPr>
      <w:r>
        <w:t>Normalmente la prueba se suspende al final de la jornada; todos los documentos relacionados se versionan en docs/testing/ciclo-N del repositorio y se recomienza al día siguiente. Además, las pruebas se suspenderán en los siguientes casos: (i) se observa una falla de nivel 1 o 2 que impide continuar con los casos siguientes; (ii) ocurre una falla en el entorno; (iii) ocurre una falla de hardware.</w:t>
      </w:r>
    </w:p>
    <w:p>
      <w:pPr>
        <w:ind w:left="567"/>
        <w:jc w:val="both"/>
      </w:pPr>
      <w:r>
        <w:t>Cuando el defecto causante es reparado, se ejecuta una prueba de regresión sobre la nueva versión; si la supera, la prueba normal se recomienza. Ante fallas de entorno o hardware, el tester notifica al responsable (DevOps) y recomienza desde el principio una vez reparado.</w:t>
      </w:r>
    </w:p>
    <w:p>
      <w:pPr>
        <w:ind w:left="567"/>
        <w:jc w:val="both"/>
      </w:pPr>
      <w:r>
        <w:rPr>
          <w:b/>
        </w:rPr>
        <w:t xml:space="preserve">Aplicación en los ciclos: </w:t>
      </w:r>
      <w:r>
        <w:t>En el Ciclo 1, DM-BA-001 (nivel 2) impedía iniciar sesión como Administrador en una base nueva y se aplicó un procedimiento alternativo documentado (alta del administrador por SQL). En el Ciclo 2 ese procedimiento ya no fue necesario: la base se recreó vacía y el sistema creó el administrador por sí mismo (TC-BA-RNF01-12). Ningún defecto abierto del Ciclo 2 impide continuar con la ejecución.</w:t>
      </w:r>
    </w:p>
    <w:p>
      <w:pPr>
        <w:pStyle w:val="Heading1"/>
      </w:pPr>
      <w:r>
        <w:t>8. Entregables de la Prueba</w:t>
      </w:r>
    </w:p>
    <w:p>
      <w:pPr>
        <w:ind w:left="567"/>
        <w:jc w:val="both"/>
      </w:pPr>
      <w:r>
        <w:t>Los siguientes ítems son generados por el equipo para este proyecto:</w:t>
      </w:r>
    </w:p>
    <w:p>
      <w:pPr>
        <w:pStyle w:val="ListBullet"/>
        <w:ind w:left="567"/>
        <w:jc w:val="both"/>
      </w:pPr>
      <w:r>
        <w:rPr>
          <w:b/>
        </w:rPr>
        <w:t xml:space="preserve">Plan de Testing del sistema: </w:t>
      </w:r>
      <w:r>
        <w:t>este documento (PT-BA-2026-01).</w:t>
      </w:r>
    </w:p>
    <w:p>
      <w:pPr>
        <w:pStyle w:val="ListBullet"/>
        <w:ind w:left="567"/>
        <w:jc w:val="both"/>
      </w:pPr>
      <w:r>
        <w:rPr>
          <w:b/>
        </w:rPr>
        <w:t xml:space="preserve">Especificaciones de casos de prueba: </w:t>
      </w:r>
      <w:r>
        <w:t>hoja de cada caso en «Casos de Prueba - BA - Ciclo - 2.xlsx» (entradas, prerrequisitos, resultados previstos y condiciones de ejecución).</w:t>
      </w:r>
    </w:p>
    <w:p>
      <w:pPr>
        <w:pStyle w:val="ListBullet"/>
        <w:ind w:left="567"/>
        <w:jc w:val="both"/>
      </w:pPr>
      <w:r>
        <w:rPr>
          <w:b/>
        </w:rPr>
        <w:t xml:space="preserve">Especificaciones de procesos de prueba: </w:t>
      </w:r>
      <w:r>
        <w:t>sección «Procedimiento» de cada caso (secuencia de acciones).</w:t>
      </w:r>
    </w:p>
    <w:p>
      <w:pPr>
        <w:pStyle w:val="ListBullet"/>
        <w:ind w:left="567"/>
        <w:jc w:val="both"/>
      </w:pPr>
      <w:r>
        <w:rPr>
          <w:b/>
        </w:rPr>
        <w:t xml:space="preserve">Registro de las pruebas: </w:t>
      </w:r>
      <w:r>
        <w:t>hoja «Registro TC-BA» con el resultado de cada caso, más las capturas de evidencias/.</w:t>
      </w:r>
    </w:p>
    <w:p>
      <w:pPr>
        <w:pStyle w:val="ListBullet"/>
        <w:ind w:left="567"/>
        <w:jc w:val="both"/>
      </w:pPr>
      <w:r>
        <w:rPr>
          <w:b/>
        </w:rPr>
        <w:t xml:space="preserve">Reporte de incidentes: </w:t>
      </w:r>
      <w:r>
        <w:t>«Defectos - BA - Ciclo - 2.xlsx» (13 reportes DM-BA, con su estado tras la regresión).</w:t>
      </w:r>
    </w:p>
    <w:p>
      <w:pPr>
        <w:pStyle w:val="ListBullet"/>
        <w:ind w:left="567"/>
        <w:jc w:val="both"/>
      </w:pPr>
      <w:r>
        <w:rPr>
          <w:b/>
        </w:rPr>
        <w:t xml:space="preserve">Reporte general de pruebas: </w:t>
      </w:r>
      <w:r>
        <w:t>«Observaciones y sugerencias - BA - Ciclo - 2.docx» e indicadores de la sección 5.4.</w:t>
      </w:r>
    </w:p>
    <w:p>
      <w:pPr>
        <w:pStyle w:val="Heading1"/>
      </w:pPr>
      <w:r>
        <w:t>9. Tareas de Testing</w:t>
      </w:r>
    </w:p>
    <w:p>
      <w:pPr>
        <w:ind w:left="567"/>
        <w:jc w:val="both"/>
      </w:pPr>
      <w:r>
        <w:t>Listado de tareas de la prueba con su precedencia, habilidades necesarias, responsables, esfuerzo estimado y fecha de terminación:</w:t>
      </w:r>
    </w:p>
    <w:tbl>
      <w:tblPr>
        <w:tblStyle w:val="TableGrid"/>
        <w:tblW w:type="auto" w:w="0"/>
        <w:jc w:val="center"/>
        <w:tblLayout w:type="fixed"/>
        <w:tblLook w:firstColumn="1" w:firstRow="1" w:lastColumn="0" w:lastRow="0" w:noHBand="0" w:noVBand="1" w:val="04A0"/>
      </w:tblPr>
      <w:tblGrid>
        <w:gridCol w:w="340"/>
        <w:gridCol w:w="3061"/>
        <w:gridCol w:w="794"/>
        <w:gridCol w:w="1474"/>
        <w:gridCol w:w="1304"/>
        <w:gridCol w:w="907"/>
        <w:gridCol w:w="1134"/>
      </w:tblGrid>
      <w:tr>
        <w:tc>
          <w:tcPr>
            <w:tcW w:type="dxa" w:w="340"/>
            <w:shd w:val="clear" w:color="auto" w:fill="DCE6F1"/>
          </w:tcPr>
          <w:p>
            <w:r/>
            <w:r>
              <w:rPr>
                <w:b/>
                <w:sz w:val="16"/>
              </w:rPr>
              <w:t>#</w:t>
            </w:r>
          </w:p>
        </w:tc>
        <w:tc>
          <w:tcPr>
            <w:tcW w:type="dxa" w:w="3061"/>
            <w:shd w:val="clear" w:color="auto" w:fill="DCE6F1"/>
          </w:tcPr>
          <w:p>
            <w:r/>
            <w:r>
              <w:rPr>
                <w:b/>
                <w:sz w:val="16"/>
              </w:rPr>
              <w:t>Tarea</w:t>
            </w:r>
          </w:p>
        </w:tc>
        <w:tc>
          <w:tcPr>
            <w:tcW w:type="dxa" w:w="794"/>
            <w:shd w:val="clear" w:color="auto" w:fill="DCE6F1"/>
          </w:tcPr>
          <w:p>
            <w:r/>
            <w:r>
              <w:rPr>
                <w:b/>
                <w:sz w:val="16"/>
              </w:rPr>
              <w:t>Precede</w:t>
            </w:r>
          </w:p>
        </w:tc>
        <w:tc>
          <w:tcPr>
            <w:tcW w:type="dxa" w:w="1474"/>
            <w:shd w:val="clear" w:color="auto" w:fill="DCE6F1"/>
          </w:tcPr>
          <w:p>
            <w:r/>
            <w:r>
              <w:rPr>
                <w:b/>
                <w:sz w:val="16"/>
              </w:rPr>
              <w:t>Habilidades</w:t>
            </w:r>
          </w:p>
        </w:tc>
        <w:tc>
          <w:tcPr>
            <w:tcW w:type="dxa" w:w="1304"/>
            <w:shd w:val="clear" w:color="auto" w:fill="DCE6F1"/>
          </w:tcPr>
          <w:p>
            <w:r/>
            <w:r>
              <w:rPr>
                <w:b/>
                <w:sz w:val="16"/>
              </w:rPr>
              <w:t>Responsable</w:t>
            </w:r>
          </w:p>
        </w:tc>
        <w:tc>
          <w:tcPr>
            <w:tcW w:type="dxa" w:w="907"/>
            <w:shd w:val="clear" w:color="auto" w:fill="DCE6F1"/>
          </w:tcPr>
          <w:p>
            <w:r/>
            <w:r>
              <w:rPr>
                <w:b/>
                <w:sz w:val="16"/>
              </w:rPr>
              <w:t>Esfuerzo (h, est.)</w:t>
            </w:r>
          </w:p>
        </w:tc>
        <w:tc>
          <w:tcPr>
            <w:tcW w:type="dxa" w:w="1134"/>
            <w:shd w:val="clear" w:color="auto" w:fill="DCE6F1"/>
          </w:tcPr>
          <w:p>
            <w:r/>
            <w:r>
              <w:rPr>
                <w:b/>
                <w:sz w:val="16"/>
              </w:rPr>
              <w:t>Fin</w:t>
            </w:r>
          </w:p>
        </w:tc>
      </w:tr>
      <w:tr>
        <w:tc>
          <w:tcPr>
            <w:tcW w:type="dxa" w:w="340"/>
          </w:tcPr>
          <w:p>
            <w:r/>
            <w:r>
              <w:rPr>
                <w:sz w:val="16"/>
              </w:rPr>
              <w:t>1</w:t>
            </w:r>
          </w:p>
        </w:tc>
        <w:tc>
          <w:tcPr>
            <w:tcW w:type="dxa" w:w="3061"/>
          </w:tcPr>
          <w:p>
            <w:r/>
            <w:r>
              <w:rPr>
                <w:sz w:val="16"/>
              </w:rPr>
              <w:t>Preparación del ambiente de testing (Ciclo 1)</w:t>
            </w:r>
          </w:p>
        </w:tc>
        <w:tc>
          <w:tcPr>
            <w:tcW w:type="dxa" w:w="794"/>
          </w:tcPr>
          <w:p>
            <w:r/>
            <w:r>
              <w:rPr>
                <w:sz w:val="16"/>
              </w:rPr>
              <w:t>—</w:t>
            </w:r>
          </w:p>
        </w:tc>
        <w:tc>
          <w:tcPr>
            <w:tcW w:type="dxa" w:w="1474"/>
          </w:tcPr>
          <w:p>
            <w:r/>
            <w:r>
              <w:rPr>
                <w:sz w:val="16"/>
              </w:rPr>
              <w:t>DevOps, PostgreSQL</w:t>
            </w:r>
          </w:p>
        </w:tc>
        <w:tc>
          <w:tcPr>
            <w:tcW w:type="dxa" w:w="1304"/>
          </w:tcPr>
          <w:p>
            <w:r/>
            <w:r>
              <w:rPr>
                <w:sz w:val="16"/>
              </w:rPr>
              <w:t>Ponce</w:t>
            </w:r>
          </w:p>
        </w:tc>
        <w:tc>
          <w:tcPr>
            <w:tcW w:type="dxa" w:w="907"/>
          </w:tcPr>
          <w:p>
            <w:r/>
            <w:r>
              <w:rPr>
                <w:sz w:val="16"/>
              </w:rPr>
              <w:t>4</w:t>
            </w:r>
          </w:p>
        </w:tc>
        <w:tc>
          <w:tcPr>
            <w:tcW w:type="dxa" w:w="1134"/>
          </w:tcPr>
          <w:p>
            <w:r/>
            <w:r>
              <w:rPr>
                <w:sz w:val="16"/>
              </w:rPr>
              <w:t>20/10/2026</w:t>
            </w:r>
          </w:p>
        </w:tc>
      </w:tr>
      <w:tr>
        <w:tc>
          <w:tcPr>
            <w:tcW w:type="dxa" w:w="340"/>
          </w:tcPr>
          <w:p>
            <w:r/>
            <w:r>
              <w:rPr>
                <w:sz w:val="16"/>
              </w:rPr>
              <w:t>2</w:t>
            </w:r>
          </w:p>
        </w:tc>
        <w:tc>
          <w:tcPr>
            <w:tcW w:type="dxa" w:w="3061"/>
          </w:tcPr>
          <w:p>
            <w:r/>
            <w:r>
              <w:rPr>
                <w:sz w:val="16"/>
              </w:rPr>
              <w:t>Especificación y diseño de casos (Ciclo 1)</w:t>
            </w:r>
          </w:p>
        </w:tc>
        <w:tc>
          <w:tcPr>
            <w:tcW w:type="dxa" w:w="794"/>
          </w:tcPr>
          <w:p>
            <w:r/>
            <w:r>
              <w:rPr>
                <w:sz w:val="16"/>
              </w:rPr>
              <w:t>—</w:t>
            </w:r>
          </w:p>
        </w:tc>
        <w:tc>
          <w:tcPr>
            <w:tcW w:type="dxa" w:w="1474"/>
          </w:tcPr>
          <w:p>
            <w:r/>
            <w:r>
              <w:rPr>
                <w:sz w:val="16"/>
              </w:rPr>
              <w:t>Análisis de requisitos, caja negra</w:t>
            </w:r>
          </w:p>
        </w:tc>
        <w:tc>
          <w:tcPr>
            <w:tcW w:type="dxa" w:w="1304"/>
          </w:tcPr>
          <w:p>
            <w:r/>
            <w:r>
              <w:rPr>
                <w:sz w:val="16"/>
              </w:rPr>
              <w:t>Todo el equipo</w:t>
            </w:r>
          </w:p>
        </w:tc>
        <w:tc>
          <w:tcPr>
            <w:tcW w:type="dxa" w:w="907"/>
          </w:tcPr>
          <w:p>
            <w:r/>
            <w:r>
              <w:rPr>
                <w:sz w:val="16"/>
              </w:rPr>
              <w:t>18</w:t>
            </w:r>
          </w:p>
        </w:tc>
        <w:tc>
          <w:tcPr>
            <w:tcW w:type="dxa" w:w="1134"/>
          </w:tcPr>
          <w:p>
            <w:r/>
            <w:r>
              <w:rPr>
                <w:sz w:val="16"/>
              </w:rPr>
              <w:t>20/10/2026</w:t>
            </w:r>
          </w:p>
        </w:tc>
      </w:tr>
      <w:tr>
        <w:tc>
          <w:tcPr>
            <w:tcW w:type="dxa" w:w="340"/>
          </w:tcPr>
          <w:p>
            <w:r/>
            <w:r>
              <w:rPr>
                <w:sz w:val="16"/>
              </w:rPr>
              <w:t>3</w:t>
            </w:r>
          </w:p>
        </w:tc>
        <w:tc>
          <w:tcPr>
            <w:tcW w:type="dxa" w:w="3061"/>
          </w:tcPr>
          <w:p>
            <w:r/>
            <w:r>
              <w:rPr>
                <w:sz w:val="16"/>
              </w:rPr>
              <w:t>Ejecución del Ciclo 1, registro de defectos y observaciones</w:t>
            </w:r>
          </w:p>
        </w:tc>
        <w:tc>
          <w:tcPr>
            <w:tcW w:type="dxa" w:w="794"/>
          </w:tcPr>
          <w:p>
            <w:r/>
            <w:r>
              <w:rPr>
                <w:sz w:val="16"/>
              </w:rPr>
              <w:t>1, 2</w:t>
            </w:r>
          </w:p>
        </w:tc>
        <w:tc>
          <w:tcPr>
            <w:tcW w:type="dxa" w:w="1474"/>
          </w:tcPr>
          <w:p>
            <w:r/>
            <w:r>
              <w:rPr>
                <w:sz w:val="16"/>
              </w:rPr>
              <w:t>Ejecución, Playwright</w:t>
            </w:r>
          </w:p>
        </w:tc>
        <w:tc>
          <w:tcPr>
            <w:tcW w:type="dxa" w:w="1304"/>
          </w:tcPr>
          <w:p>
            <w:r/>
            <w:r>
              <w:rPr>
                <w:sz w:val="16"/>
              </w:rPr>
              <w:t>Testers asignados</w:t>
            </w:r>
          </w:p>
        </w:tc>
        <w:tc>
          <w:tcPr>
            <w:tcW w:type="dxa" w:w="907"/>
          </w:tcPr>
          <w:p>
            <w:r/>
            <w:r>
              <w:rPr>
                <w:sz w:val="16"/>
              </w:rPr>
              <w:t>11</w:t>
            </w:r>
          </w:p>
        </w:tc>
        <w:tc>
          <w:tcPr>
            <w:tcW w:type="dxa" w:w="1134"/>
          </w:tcPr>
          <w:p>
            <w:r/>
            <w:r>
              <w:rPr>
                <w:sz w:val="16"/>
              </w:rPr>
              <w:t>20/10/2026</w:t>
            </w:r>
          </w:p>
        </w:tc>
      </w:tr>
      <w:tr>
        <w:tc>
          <w:tcPr>
            <w:tcW w:type="dxa" w:w="340"/>
          </w:tcPr>
          <w:p>
            <w:r/>
            <w:r>
              <w:rPr>
                <w:sz w:val="16"/>
              </w:rPr>
              <w:t>4</w:t>
            </w:r>
          </w:p>
        </w:tc>
        <w:tc>
          <w:tcPr>
            <w:tcW w:type="dxa" w:w="3061"/>
          </w:tcPr>
          <w:p>
            <w:r/>
            <w:r>
              <w:rPr>
                <w:sz w:val="16"/>
              </w:rPr>
              <w:t>Relevamiento de los cambios de casos de uso en main (REQUIREMENTS.md y código)</w:t>
            </w:r>
          </w:p>
        </w:tc>
        <w:tc>
          <w:tcPr>
            <w:tcW w:type="dxa" w:w="794"/>
          </w:tcPr>
          <w:p>
            <w:r/>
            <w:r>
              <w:rPr>
                <w:sz w:val="16"/>
              </w:rPr>
              <w:t>3</w:t>
            </w:r>
          </w:p>
        </w:tc>
        <w:tc>
          <w:tcPr>
            <w:tcW w:type="dxa" w:w="1474"/>
          </w:tcPr>
          <w:p>
            <w:r/>
            <w:r>
              <w:rPr>
                <w:sz w:val="16"/>
              </w:rPr>
              <w:t>Análisis</w:t>
            </w:r>
          </w:p>
        </w:tc>
        <w:tc>
          <w:tcPr>
            <w:tcW w:type="dxa" w:w="1304"/>
          </w:tcPr>
          <w:p>
            <w:r/>
            <w:r>
              <w:rPr>
                <w:sz w:val="16"/>
              </w:rPr>
              <w:t>Sleiman</w:t>
            </w:r>
          </w:p>
        </w:tc>
        <w:tc>
          <w:tcPr>
            <w:tcW w:type="dxa" w:w="907"/>
          </w:tcPr>
          <w:p>
            <w:r/>
            <w:r>
              <w:rPr>
                <w:sz w:val="16"/>
              </w:rPr>
              <w:t>3</w:t>
            </w:r>
          </w:p>
        </w:tc>
        <w:tc>
          <w:tcPr>
            <w:tcW w:type="dxa" w:w="1134"/>
          </w:tcPr>
          <w:p>
            <w:r/>
            <w:r>
              <w:rPr>
                <w:sz w:val="16"/>
              </w:rPr>
              <w:t>28/10/2026</w:t>
            </w:r>
          </w:p>
        </w:tc>
      </w:tr>
      <w:tr>
        <w:tc>
          <w:tcPr>
            <w:tcW w:type="dxa" w:w="340"/>
          </w:tcPr>
          <w:p>
            <w:r/>
            <w:r>
              <w:rPr>
                <w:sz w:val="16"/>
              </w:rPr>
              <w:t>5</w:t>
            </w:r>
          </w:p>
        </w:tc>
        <w:tc>
          <w:tcPr>
            <w:tcW w:type="dxa" w:w="3061"/>
          </w:tcPr>
          <w:p>
            <w:r/>
            <w:r>
              <w:rPr>
                <w:sz w:val="16"/>
              </w:rPr>
              <w:t>Actualización de casos afectados y diseño de casos nuevos (versión 2.0)</w:t>
            </w:r>
          </w:p>
        </w:tc>
        <w:tc>
          <w:tcPr>
            <w:tcW w:type="dxa" w:w="794"/>
          </w:tcPr>
          <w:p>
            <w:r/>
            <w:r>
              <w:rPr>
                <w:sz w:val="16"/>
              </w:rPr>
              <w:t>4</w:t>
            </w:r>
          </w:p>
        </w:tc>
        <w:tc>
          <w:tcPr>
            <w:tcW w:type="dxa" w:w="1474"/>
          </w:tcPr>
          <w:p>
            <w:r/>
            <w:r>
              <w:rPr>
                <w:sz w:val="16"/>
              </w:rPr>
              <w:t>Caja negra, dominio</w:t>
            </w:r>
          </w:p>
        </w:tc>
        <w:tc>
          <w:tcPr>
            <w:tcW w:type="dxa" w:w="1304"/>
          </w:tcPr>
          <w:p>
            <w:r/>
            <w:r>
              <w:rPr>
                <w:sz w:val="16"/>
              </w:rPr>
              <w:t>Todo el equipo</w:t>
            </w:r>
          </w:p>
        </w:tc>
        <w:tc>
          <w:tcPr>
            <w:tcW w:type="dxa" w:w="907"/>
          </w:tcPr>
          <w:p>
            <w:r/>
            <w:r>
              <w:rPr>
                <w:sz w:val="16"/>
              </w:rPr>
              <w:t>8</w:t>
            </w:r>
          </w:p>
        </w:tc>
        <w:tc>
          <w:tcPr>
            <w:tcW w:type="dxa" w:w="1134"/>
          </w:tcPr>
          <w:p>
            <w:r/>
            <w:r>
              <w:rPr>
                <w:sz w:val="16"/>
              </w:rPr>
              <w:t>28/10/2026</w:t>
            </w:r>
          </w:p>
        </w:tc>
      </w:tr>
      <w:tr>
        <w:tc>
          <w:tcPr>
            <w:tcW w:type="dxa" w:w="340"/>
          </w:tcPr>
          <w:p>
            <w:r/>
            <w:r>
              <w:rPr>
                <w:sz w:val="16"/>
              </w:rPr>
              <w:t>6</w:t>
            </w:r>
          </w:p>
        </w:tc>
        <w:tc>
          <w:tcPr>
            <w:tcW w:type="dxa" w:w="3061"/>
          </w:tcPr>
          <w:p>
            <w:r/>
            <w:r>
              <w:rPr>
                <w:sz w:val="16"/>
              </w:rPr>
              <w:t>Preparación del ambiente sobre main (bd04bb8)</w:t>
            </w:r>
          </w:p>
        </w:tc>
        <w:tc>
          <w:tcPr>
            <w:tcW w:type="dxa" w:w="794"/>
          </w:tcPr>
          <w:p>
            <w:r/>
            <w:r>
              <w:rPr>
                <w:sz w:val="16"/>
              </w:rPr>
              <w:t>—</w:t>
            </w:r>
          </w:p>
        </w:tc>
        <w:tc>
          <w:tcPr>
            <w:tcW w:type="dxa" w:w="1474"/>
          </w:tcPr>
          <w:p>
            <w:r/>
            <w:r>
              <w:rPr>
                <w:sz w:val="16"/>
              </w:rPr>
              <w:t>DevOps</w:t>
            </w:r>
          </w:p>
        </w:tc>
        <w:tc>
          <w:tcPr>
            <w:tcW w:type="dxa" w:w="1304"/>
          </w:tcPr>
          <w:p>
            <w:r/>
            <w:r>
              <w:rPr>
                <w:sz w:val="16"/>
              </w:rPr>
              <w:t>Ponce</w:t>
            </w:r>
          </w:p>
        </w:tc>
        <w:tc>
          <w:tcPr>
            <w:tcW w:type="dxa" w:w="907"/>
          </w:tcPr>
          <w:p>
            <w:r/>
            <w:r>
              <w:rPr>
                <w:sz w:val="16"/>
              </w:rPr>
              <w:t>2</w:t>
            </w:r>
          </w:p>
        </w:tc>
        <w:tc>
          <w:tcPr>
            <w:tcW w:type="dxa" w:w="1134"/>
          </w:tcPr>
          <w:p>
            <w:r/>
            <w:r>
              <w:rPr>
                <w:sz w:val="16"/>
              </w:rPr>
              <w:t>28/10/2026</w:t>
            </w:r>
          </w:p>
        </w:tc>
      </w:tr>
      <w:tr>
        <w:tc>
          <w:tcPr>
            <w:tcW w:type="dxa" w:w="340"/>
          </w:tcPr>
          <w:p>
            <w:r/>
            <w:r>
              <w:rPr>
                <w:sz w:val="16"/>
              </w:rPr>
              <w:t>7</w:t>
            </w:r>
          </w:p>
        </w:tc>
        <w:tc>
          <w:tcPr>
            <w:tcW w:type="dxa" w:w="3061"/>
          </w:tcPr>
          <w:p>
            <w:r/>
            <w:r>
              <w:rPr>
                <w:sz w:val="16"/>
              </w:rPr>
              <w:t>Ejecución del Ciclo 2 (casos nuevos, modificados y regresión de DM-BA-001 a 013)</w:t>
            </w:r>
          </w:p>
        </w:tc>
        <w:tc>
          <w:tcPr>
            <w:tcW w:type="dxa" w:w="794"/>
          </w:tcPr>
          <w:p>
            <w:r/>
            <w:r>
              <w:rPr>
                <w:sz w:val="16"/>
              </w:rPr>
              <w:t>5, 6</w:t>
            </w:r>
          </w:p>
        </w:tc>
        <w:tc>
          <w:tcPr>
            <w:tcW w:type="dxa" w:w="1474"/>
          </w:tcPr>
          <w:p>
            <w:r/>
            <w:r>
              <w:rPr>
                <w:sz w:val="16"/>
              </w:rPr>
              <w:t>Ejecución, Playwright</w:t>
            </w:r>
          </w:p>
        </w:tc>
        <w:tc>
          <w:tcPr>
            <w:tcW w:type="dxa" w:w="1304"/>
          </w:tcPr>
          <w:p>
            <w:r/>
            <w:r>
              <w:rPr>
                <w:sz w:val="16"/>
              </w:rPr>
              <w:t>Testers asignados</w:t>
            </w:r>
          </w:p>
        </w:tc>
        <w:tc>
          <w:tcPr>
            <w:tcW w:type="dxa" w:w="907"/>
          </w:tcPr>
          <w:p>
            <w:r/>
            <w:r>
              <w:rPr>
                <w:sz w:val="16"/>
              </w:rPr>
              <w:t>8</w:t>
            </w:r>
          </w:p>
        </w:tc>
        <w:tc>
          <w:tcPr>
            <w:tcW w:type="dxa" w:w="1134"/>
          </w:tcPr>
          <w:p>
            <w:r/>
            <w:r>
              <w:rPr>
                <w:sz w:val="16"/>
              </w:rPr>
              <w:t>28/10/2026</w:t>
            </w:r>
          </w:p>
        </w:tc>
      </w:tr>
      <w:tr>
        <w:tc>
          <w:tcPr>
            <w:tcW w:type="dxa" w:w="340"/>
          </w:tcPr>
          <w:p>
            <w:r/>
            <w:r>
              <w:rPr>
                <w:sz w:val="16"/>
              </w:rPr>
              <w:t>8</w:t>
            </w:r>
          </w:p>
        </w:tc>
        <w:tc>
          <w:tcPr>
            <w:tcW w:type="dxa" w:w="3061"/>
          </w:tcPr>
          <w:p>
            <w:r/>
            <w:r>
              <w:rPr>
                <w:sz w:val="16"/>
              </w:rPr>
              <w:t>Actualización del estado de los defectos y comunicación de resultados</w:t>
            </w:r>
          </w:p>
        </w:tc>
        <w:tc>
          <w:tcPr>
            <w:tcW w:type="dxa" w:w="794"/>
          </w:tcPr>
          <w:p>
            <w:r/>
            <w:r>
              <w:rPr>
                <w:sz w:val="16"/>
              </w:rPr>
              <w:t>7</w:t>
            </w:r>
          </w:p>
        </w:tc>
        <w:tc>
          <w:tcPr>
            <w:tcW w:type="dxa" w:w="1474"/>
          </w:tcPr>
          <w:p>
            <w:r/>
            <w:r>
              <w:rPr>
                <w:sz w:val="16"/>
              </w:rPr>
              <w:t>Reporte de incidentes</w:t>
            </w:r>
          </w:p>
        </w:tc>
        <w:tc>
          <w:tcPr>
            <w:tcW w:type="dxa" w:w="1304"/>
          </w:tcPr>
          <w:p>
            <w:r/>
            <w:r>
              <w:rPr>
                <w:sz w:val="16"/>
              </w:rPr>
              <w:t>Ochoa</w:t>
            </w:r>
          </w:p>
        </w:tc>
        <w:tc>
          <w:tcPr>
            <w:tcW w:type="dxa" w:w="907"/>
          </w:tcPr>
          <w:p>
            <w:r/>
            <w:r>
              <w:rPr>
                <w:sz w:val="16"/>
              </w:rPr>
              <w:t>2</w:t>
            </w:r>
          </w:p>
        </w:tc>
        <w:tc>
          <w:tcPr>
            <w:tcW w:type="dxa" w:w="1134"/>
          </w:tcPr>
          <w:p>
            <w:r/>
            <w:r>
              <w:rPr>
                <w:sz w:val="16"/>
              </w:rPr>
              <w:t>28/10/2026</w:t>
            </w:r>
          </w:p>
        </w:tc>
      </w:tr>
      <w:tr>
        <w:tc>
          <w:tcPr>
            <w:tcW w:type="dxa" w:w="340"/>
          </w:tcPr>
          <w:p>
            <w:r/>
            <w:r>
              <w:rPr>
                <w:sz w:val="16"/>
              </w:rPr>
              <w:t>9</w:t>
            </w:r>
          </w:p>
        </w:tc>
        <w:tc>
          <w:tcPr>
            <w:tcW w:type="dxa" w:w="3061"/>
          </w:tcPr>
          <w:p>
            <w:r/>
            <w:r>
              <w:rPr>
                <w:sz w:val="16"/>
              </w:rPr>
              <w:t>Consulta con la fundación por datos de ejemplo (graduaciones, precintos)</w:t>
            </w:r>
          </w:p>
        </w:tc>
        <w:tc>
          <w:tcPr>
            <w:tcW w:type="dxa" w:w="794"/>
          </w:tcPr>
          <w:p>
            <w:r/>
            <w:r>
              <w:rPr>
                <w:sz w:val="16"/>
              </w:rPr>
              <w:t>—</w:t>
            </w:r>
          </w:p>
        </w:tc>
        <w:tc>
          <w:tcPr>
            <w:tcW w:type="dxa" w:w="1474"/>
          </w:tcPr>
          <w:p>
            <w:r/>
            <w:r>
              <w:rPr>
                <w:sz w:val="16"/>
              </w:rPr>
              <w:t>Relevamiento</w:t>
            </w:r>
          </w:p>
        </w:tc>
        <w:tc>
          <w:tcPr>
            <w:tcW w:type="dxa" w:w="1304"/>
          </w:tcPr>
          <w:p>
            <w:r/>
            <w:r>
              <w:rPr>
                <w:sz w:val="16"/>
              </w:rPr>
              <w:t>Sleiman</w:t>
            </w:r>
          </w:p>
        </w:tc>
        <w:tc>
          <w:tcPr>
            <w:tcW w:type="dxa" w:w="907"/>
          </w:tcPr>
          <w:p>
            <w:r/>
            <w:r>
              <w:rPr>
                <w:sz w:val="16"/>
              </w:rPr>
              <w:t>2</w:t>
            </w:r>
          </w:p>
        </w:tc>
        <w:tc>
          <w:tcPr>
            <w:tcW w:type="dxa" w:w="1134"/>
          </w:tcPr>
          <w:p>
            <w:r/>
            <w:r>
              <w:rPr>
                <w:sz w:val="16"/>
              </w:rPr>
              <w:t>A definir</w:t>
            </w:r>
          </w:p>
        </w:tc>
      </w:tr>
      <w:tr>
        <w:tc>
          <w:tcPr>
            <w:tcW w:type="dxa" w:w="340"/>
          </w:tcPr>
          <w:p>
            <w:r/>
            <w:r>
              <w:rPr>
                <w:sz w:val="16"/>
              </w:rPr>
              <w:t>10</w:t>
            </w:r>
          </w:p>
        </w:tc>
        <w:tc>
          <w:tcPr>
            <w:tcW w:type="dxa" w:w="3061"/>
          </w:tcPr>
          <w:p>
            <w:r/>
            <w:r>
              <w:rPr>
                <w:sz w:val="16"/>
              </w:rPr>
              <w:t>Ciclo 3: regresión de los defectos abiertos y navegadores Firefox/Edge/Safari</w:t>
            </w:r>
          </w:p>
        </w:tc>
        <w:tc>
          <w:tcPr>
            <w:tcW w:type="dxa" w:w="794"/>
          </w:tcPr>
          <w:p>
            <w:r/>
            <w:r>
              <w:rPr>
                <w:sz w:val="16"/>
              </w:rPr>
              <w:t>Correcciones</w:t>
            </w:r>
          </w:p>
        </w:tc>
        <w:tc>
          <w:tcPr>
            <w:tcW w:type="dxa" w:w="1474"/>
          </w:tcPr>
          <w:p>
            <w:r/>
            <w:r>
              <w:rPr>
                <w:sz w:val="16"/>
              </w:rPr>
              <w:t>Ejecución</w:t>
            </w:r>
          </w:p>
        </w:tc>
        <w:tc>
          <w:tcPr>
            <w:tcW w:type="dxa" w:w="1304"/>
          </w:tcPr>
          <w:p>
            <w:r/>
            <w:r>
              <w:rPr>
                <w:sz w:val="16"/>
              </w:rPr>
              <w:t>Testers asignados</w:t>
            </w:r>
          </w:p>
        </w:tc>
        <w:tc>
          <w:tcPr>
            <w:tcW w:type="dxa" w:w="907"/>
          </w:tcPr>
          <w:p>
            <w:r/>
            <w:r>
              <w:rPr>
                <w:sz w:val="16"/>
              </w:rPr>
              <w:t>6</w:t>
            </w:r>
          </w:p>
        </w:tc>
        <w:tc>
          <w:tcPr>
            <w:tcW w:type="dxa" w:w="1134"/>
          </w:tcPr>
          <w:p>
            <w:r/>
            <w:r>
              <w:rPr>
                <w:sz w:val="16"/>
              </w:rPr>
              <w:t>A definir</w:t>
            </w:r>
          </w:p>
        </w:tc>
      </w:tr>
    </w:tbl>
    <w:p/>
    <w:p>
      <w:pPr>
        <w:pStyle w:val="Heading1"/>
      </w:pPr>
      <w:r>
        <w:t>10. Entorno de la Prueba</w:t>
      </w:r>
    </w:p>
    <w:p>
      <w:pPr>
        <w:ind w:left="567"/>
        <w:jc w:val="both"/>
      </w:pPr>
      <w:r>
        <w:t>El sistema está basado en una arquitectura web: frontend SPA en React 19 (Vite 8, Tailwind 4), backend API REST en Spring Boot 4.1 (Java 17, ejecutado con JDK 21), base de datos PostgreSQL 16 con esquema versionado por Flyway e intercambio de datos en JSON. Por decisión del equipo, la prueba se desarrolla en un ambiente local de testing (no sobre Render):</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shd w:val="clear" w:color="auto" w:fill="DCE6F1"/>
          </w:tcPr>
          <w:p>
            <w:r/>
            <w:r>
              <w:rPr>
                <w:b/>
                <w:sz w:val="18"/>
              </w:rPr>
              <w:t>Componente</w:t>
            </w:r>
          </w:p>
        </w:tc>
        <w:tc>
          <w:tcPr>
            <w:tcW w:type="dxa" w:w="6520"/>
            <w:shd w:val="clear" w:color="auto" w:fill="DCE6F1"/>
          </w:tcPr>
          <w:p>
            <w:r/>
            <w:r>
              <w:rPr>
                <w:b/>
                <w:sz w:val="18"/>
              </w:rPr>
              <w:t>Ambiente de testing</w:t>
            </w:r>
          </w:p>
        </w:tc>
      </w:tr>
      <w:tr>
        <w:tc>
          <w:tcPr>
            <w:tcW w:type="dxa" w:w="2835"/>
          </w:tcPr>
          <w:p>
            <w:r/>
            <w:r>
              <w:rPr>
                <w:sz w:val="18"/>
              </w:rPr>
              <w:t>Base de datos</w:t>
            </w:r>
          </w:p>
        </w:tc>
        <w:tc>
          <w:tcPr>
            <w:tcW w:type="dxa" w:w="6520"/>
          </w:tcPr>
          <w:p>
            <w:r/>
            <w:r>
              <w:rPr>
                <w:sz w:val="18"/>
              </w:rPr>
              <w:t>PostgreSQL 16 – banco_anteojos (localhost:5432), recreada vacía antes de cada ciclo; esquema Flyway V5</w:t>
            </w:r>
          </w:p>
        </w:tc>
      </w:tr>
      <w:tr>
        <w:tc>
          <w:tcPr>
            <w:tcW w:type="dxa" w:w="2835"/>
          </w:tcPr>
          <w:p>
            <w:r/>
            <w:r>
              <w:rPr>
                <w:sz w:val="18"/>
              </w:rPr>
              <w:t>Servidor de aplicaciones</w:t>
            </w:r>
          </w:p>
        </w:tc>
        <w:tc>
          <w:tcPr>
            <w:tcW w:type="dxa" w:w="6520"/>
          </w:tcPr>
          <w:p>
            <w:r/>
            <w:r>
              <w:rPr>
                <w:sz w:val="18"/>
              </w:rPr>
              <w:t>Spring Boot / Tomcat embebido – http://localhost:8080</w:t>
            </w:r>
          </w:p>
        </w:tc>
      </w:tr>
      <w:tr>
        <w:tc>
          <w:tcPr>
            <w:tcW w:type="dxa" w:w="2835"/>
          </w:tcPr>
          <w:p>
            <w:r/>
            <w:r>
              <w:rPr>
                <w:sz w:val="18"/>
              </w:rPr>
              <w:t>Servidor de páginas web</w:t>
            </w:r>
          </w:p>
        </w:tc>
        <w:tc>
          <w:tcPr>
            <w:tcW w:type="dxa" w:w="6520"/>
          </w:tcPr>
          <w:p>
            <w:r/>
            <w:r>
              <w:rPr>
                <w:sz w:val="18"/>
              </w:rPr>
              <w:t>Vite dev server – http://localhost:5173 (proxy /v1 → backend)</w:t>
            </w:r>
          </w:p>
        </w:tc>
      </w:tr>
      <w:tr>
        <w:tc>
          <w:tcPr>
            <w:tcW w:type="dxa" w:w="2835"/>
          </w:tcPr>
          <w:p>
            <w:r/>
            <w:r>
              <w:rPr>
                <w:sz w:val="18"/>
              </w:rPr>
              <w:t>Almacenamiento (Cloudflare R2)</w:t>
            </w:r>
          </w:p>
        </w:tc>
        <w:tc>
          <w:tcPr>
            <w:tcW w:type="dxa" w:w="6520"/>
          </w:tcPr>
          <w:p>
            <w:r/>
            <w:r>
              <w:rPr>
                <w:sz w:val="18"/>
              </w:rPr>
              <w:t>Emulador S3-compatible local (moto) con certificado propio y URLs firmadas</w:t>
            </w:r>
          </w:p>
        </w:tc>
      </w:tr>
      <w:tr>
        <w:tc>
          <w:tcPr>
            <w:tcW w:type="dxa" w:w="2835"/>
          </w:tcPr>
          <w:p>
            <w:r/>
            <w:r>
              <w:rPr>
                <w:sz w:val="18"/>
              </w:rPr>
              <w:t>17TRACK</w:t>
            </w:r>
          </w:p>
        </w:tc>
        <w:tc>
          <w:tcPr>
            <w:tcW w:type="dxa" w:w="6520"/>
          </w:tcPr>
          <w:p>
            <w:r/>
            <w:r>
              <w:rPr>
                <w:sz w:val="18"/>
              </w:rPr>
              <w:t>Simulador local de /register (acepta números; rechaza los que empiezan con «REJ») y webhook firmado con la API key de testing</w:t>
            </w:r>
          </w:p>
        </w:tc>
      </w:tr>
      <w:tr>
        <w:tc>
          <w:tcPr>
            <w:tcW w:type="dxa" w:w="2835"/>
          </w:tcPr>
          <w:p>
            <w:r/>
            <w:r>
              <w:rPr>
                <w:sz w:val="18"/>
              </w:rPr>
              <w:t>Correo (SMTP)</w:t>
            </w:r>
          </w:p>
        </w:tc>
        <w:tc>
          <w:tcPr>
            <w:tcW w:type="dxa" w:w="6520"/>
          </w:tcPr>
          <w:p>
            <w:r/>
            <w:r>
              <w:rPr>
                <w:sz w:val="18"/>
              </w:rPr>
              <w:t>Servidor SMTP local que captura los correos para verificar las notificaciones</w:t>
            </w:r>
          </w:p>
        </w:tc>
      </w:tr>
      <w:tr>
        <w:tc>
          <w:tcPr>
            <w:tcW w:type="dxa" w:w="2835"/>
          </w:tcPr>
          <w:p>
            <w:r/>
            <w:r>
              <w:rPr>
                <w:sz w:val="18"/>
              </w:rPr>
              <w:t>RENAPER (SID)</w:t>
            </w:r>
          </w:p>
        </w:tc>
        <w:tc>
          <w:tcPr>
            <w:tcW w:type="dxa" w:w="6520"/>
          </w:tcPr>
          <w:p>
            <w:r/>
            <w:r>
              <w:rPr>
                <w:sz w:val="18"/>
              </w:rPr>
              <w:t>No disponible (ver 4.1)</w:t>
            </w:r>
          </w:p>
        </w:tc>
      </w:tr>
      <w:tr>
        <w:tc>
          <w:tcPr>
            <w:tcW w:type="dxa" w:w="2835"/>
          </w:tcPr>
          <w:p>
            <w:r/>
            <w:r>
              <w:rPr>
                <w:sz w:val="18"/>
              </w:rPr>
              <w:t>Estaciones de trabajo (Front End)</w:t>
            </w:r>
          </w:p>
        </w:tc>
        <w:tc>
          <w:tcPr>
            <w:tcW w:type="dxa" w:w="6520"/>
          </w:tcPr>
          <w:p>
            <w:r/>
            <w:r>
              <w:rPr>
                <w:sz w:val="18"/>
              </w:rPr>
              <w:t>Chromium 141.0.7390.37 – 1366×900 (escritorio) y 375×812 (móvil)</w:t>
            </w:r>
          </w:p>
        </w:tc>
      </w:tr>
    </w:tbl>
    <w:p/>
    <w:p>
      <w:pPr>
        <w:pStyle w:val="Heading1"/>
      </w:pPr>
      <w:r>
        <w:t>11. Cronogramas</w:t>
      </w:r>
    </w:p>
    <w:p>
      <w:pPr>
        <w:ind w:left="567"/>
        <w:jc w:val="both"/>
      </w:pPr>
      <w:r>
        <w:t>A continuación se detalla el cronograma de la prueba:</w:t>
      </w:r>
    </w:p>
    <w:tbl>
      <w:tblPr>
        <w:tblStyle w:val="TableGrid"/>
        <w:tblW w:type="auto" w:w="0"/>
        <w:jc w:val="center"/>
        <w:tblLayout w:type="fixed"/>
        <w:tblLook w:firstColumn="1" w:firstRow="1" w:lastColumn="0" w:lastRow="0" w:noHBand="0" w:noVBand="1" w:val="04A0"/>
      </w:tblPr>
      <w:tblGrid>
        <w:gridCol w:w="6236"/>
        <w:gridCol w:w="3118"/>
      </w:tblGrid>
      <w:tr>
        <w:tc>
          <w:tcPr>
            <w:tcW w:type="dxa" w:w="6236"/>
            <w:shd w:val="clear" w:color="auto" w:fill="DCE6F1"/>
          </w:tcPr>
          <w:p>
            <w:r/>
            <w:r>
              <w:rPr>
                <w:b/>
                <w:sz w:val="18"/>
              </w:rPr>
              <w:t>Actividad</w:t>
            </w:r>
          </w:p>
        </w:tc>
        <w:tc>
          <w:tcPr>
            <w:tcW w:type="dxa" w:w="3118"/>
            <w:shd w:val="clear" w:color="auto" w:fill="DCE6F1"/>
          </w:tcPr>
          <w:p>
            <w:r/>
            <w:r>
              <w:rPr>
                <w:b/>
                <w:sz w:val="18"/>
              </w:rPr>
              <w:t>Fecha</w:t>
            </w:r>
          </w:p>
        </w:tc>
      </w:tr>
      <w:tr>
        <w:tc>
          <w:tcPr>
            <w:tcW w:type="dxa" w:w="6236"/>
          </w:tcPr>
          <w:p>
            <w:r/>
            <w:r>
              <w:rPr>
                <w:sz w:val="18"/>
              </w:rPr>
              <w:t>Ciclo 1: preparación, diseño, ejecución y comunicación de resultados</w:t>
            </w:r>
          </w:p>
        </w:tc>
        <w:tc>
          <w:tcPr>
            <w:tcW w:type="dxa" w:w="3118"/>
          </w:tcPr>
          <w:p>
            <w:r/>
            <w:r>
              <w:rPr>
                <w:sz w:val="18"/>
              </w:rPr>
              <w:t>20/10/2026</w:t>
            </w:r>
          </w:p>
        </w:tc>
      </w:tr>
      <w:tr>
        <w:tc>
          <w:tcPr>
            <w:tcW w:type="dxa" w:w="6236"/>
          </w:tcPr>
          <w:p>
            <w:r/>
            <w:r>
              <w:rPr>
                <w:sz w:val="18"/>
              </w:rPr>
              <w:t>Cambios de alcance en main (Vía Cargo 22/10, reserva y receta del beneficiario 26/10, catálogo 27/10)</w:t>
            </w:r>
          </w:p>
        </w:tc>
        <w:tc>
          <w:tcPr>
            <w:tcW w:type="dxa" w:w="3118"/>
          </w:tcPr>
          <w:p>
            <w:r/>
            <w:r>
              <w:rPr>
                <w:sz w:val="18"/>
              </w:rPr>
              <w:t>22/10 – 27/10/2026</w:t>
            </w:r>
          </w:p>
        </w:tc>
      </w:tr>
      <w:tr>
        <w:tc>
          <w:tcPr>
            <w:tcW w:type="dxa" w:w="6236"/>
          </w:tcPr>
          <w:p>
            <w:r/>
            <w:r>
              <w:rPr>
                <w:sz w:val="18"/>
              </w:rPr>
              <w:t>Versión 2.0 del plan y de los casos de prueba</w:t>
            </w:r>
          </w:p>
        </w:tc>
        <w:tc>
          <w:tcPr>
            <w:tcW w:type="dxa" w:w="3118"/>
          </w:tcPr>
          <w:p>
            <w:r/>
            <w:r>
              <w:rPr>
                <w:sz w:val="18"/>
              </w:rPr>
              <w:t>28/10/2026</w:t>
            </w:r>
          </w:p>
        </w:tc>
      </w:tr>
      <w:tr>
        <w:tc>
          <w:tcPr>
            <w:tcW w:type="dxa" w:w="6236"/>
          </w:tcPr>
          <w:p>
            <w:r/>
            <w:r>
              <w:rPr>
                <w:sz w:val="18"/>
              </w:rPr>
              <w:t>Ciclo 2: ejecución sobre main (bd04bb8) y regresión de los defectos del Ciclo 1</w:t>
            </w:r>
          </w:p>
        </w:tc>
        <w:tc>
          <w:tcPr>
            <w:tcW w:type="dxa" w:w="3118"/>
          </w:tcPr>
          <w:p>
            <w:r/>
            <w:r>
              <w:rPr>
                <w:sz w:val="18"/>
              </w:rPr>
              <w:t>28/10/2026</w:t>
            </w:r>
          </w:p>
        </w:tc>
      </w:tr>
      <w:tr>
        <w:tc>
          <w:tcPr>
            <w:tcW w:type="dxa" w:w="6236"/>
          </w:tcPr>
          <w:p>
            <w:r/>
            <w:r>
              <w:rPr>
                <w:sz w:val="18"/>
              </w:rPr>
              <w:t>Corrección de los defectos abiertos (Desarrollo)</w:t>
            </w:r>
          </w:p>
        </w:tc>
        <w:tc>
          <w:tcPr>
            <w:tcW w:type="dxa" w:w="3118"/>
          </w:tcPr>
          <w:p>
            <w:r/>
            <w:r>
              <w:rPr>
                <w:sz w:val="18"/>
              </w:rPr>
              <w:t>A definir por el equipo</w:t>
            </w:r>
          </w:p>
        </w:tc>
      </w:tr>
      <w:tr>
        <w:tc>
          <w:tcPr>
            <w:tcW w:type="dxa" w:w="6236"/>
          </w:tcPr>
          <w:p>
            <w:r/>
            <w:r>
              <w:rPr>
                <w:sz w:val="18"/>
              </w:rPr>
              <w:t>Ciclo 3: regresión, RNF-11 en Firefox/Edge/Safari y TC-BA-RF13-05 con acceso a la CDN</w:t>
            </w:r>
          </w:p>
        </w:tc>
        <w:tc>
          <w:tcPr>
            <w:tcW w:type="dxa" w:w="3118"/>
          </w:tcPr>
          <w:p>
            <w:r/>
            <w:r>
              <w:rPr>
                <w:sz w:val="18"/>
              </w:rPr>
              <w:t>A definir por el equipo</w:t>
            </w:r>
          </w:p>
        </w:tc>
      </w:tr>
    </w:tbl>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Proyecto Final UTN-FRT 2026 · T045 · Banco de Anteojos — Fundación Hacer Futuro · Página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Testing y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