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b/>
          <w:bCs/>
          <w:sz w:val="38"/>
          <w:szCs w:val="38"/>
        </w:rPr>
        <w:t xml:space="preserve">Modelo de Dominio</w:t>
      </w:r>
    </w:p>
    <w:p>
      <w:pPr>
        <w:spacing w:after="100"/>
        <w:jc w:val="center"/>
      </w:pPr>
      <w:r>
        <w:rPr>
          <w:sz w:val="26"/>
          <w:szCs w:val="26"/>
        </w:rPr>
        <w:t xml:space="preserve">Sistema Banco de Anteojos — Fundación Hacer Futuro</w:t>
      </w:r>
    </w:p>
    <w:p>
      <w:pPr>
        <w:spacing w:after="800"/>
        <w:jc w:val="center"/>
      </w:pPr>
      <w:r>
        <w:rPr>
          <w:i/>
          <w:iCs/>
          <w:sz w:val="20"/>
          <w:szCs w:val="20"/>
        </w:rPr>
        <w:t xml:space="preserve">Proyecto Final UTN-FRT 2026 · ID T045</w:t>
      </w:r>
    </w:p>
    <w:p>
      <w:r>
        <w:br w:type="page"/>
      </w:r>
    </w:p>
    <w:p>
      <w:pPr>
        <w:pStyle w:val="Heading1"/>
        <w:spacing w:after="180" w:before="42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/>
      </w:pPr>
      <w:r>
        <w:t xml:space="preserve">Diagrama de clases conceptual: los conceptos del dominio del negocio, sus atributos y sus asociaciones, tal como los describe el SRS — sin claves primarias/foráneas, tipos de columna ni ningún otro detalle de implementación (eso corresponde al Modelo de Base de Datos). Es el artefacto de análisis que precede al diseño; la Vista Lógica del Documento de Arquitectura retoma estos mismos conceptos ya en el contexto de la solución de software.</w:t>
      </w:r>
    </w:p>
    <w:p>
      <w:pPr>
        <w:pStyle w:val="Heading1"/>
        <w:spacing w:after="180" w:before="420"/>
      </w:pPr>
      <w:r>
        <w:t xml:space="preserve">Diagrama</w:t>
      </w:r>
    </w:p>
    <w:p>
      <w:pPr>
        <w:spacing w:after="140"/>
      </w:pPr>
      <w:r>
        <w:rPr>
          <w:i/>
          <w:iCs/>
        </w:rPr>
        <w:t xml:space="preserve">Las 12 clases del dominio y sus 12 asociaciones, todas en un único diagrama (ninguna relación queda relegada a una nota de texto).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276975" cy="455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80" w:before="420"/>
      </w:pPr>
      <w:r>
        <w:t xml:space="preserve">Enumeraciones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380"/>
        <w:gridCol w:w="180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Enumeración</w:t>
            </w:r>
          </w:p>
        </w:tc>
        <w:tc>
          <w:tcPr>
            <w:tcW w:type="dxa" w:w="638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Valores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Usada en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OPERATOR, APPLICANT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User.role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DonorType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INDIVIDUAL, ORGANIZATION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Donor.donorType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FrameType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FULL_RIM, SEMI_RIMLESS, RIMLESS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Frame.frameType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FrameMaterial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ACETATE, METAL, TITANIUM, PLASTIC, OTHER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Frame.material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FrameStatus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AVAILABLE, ASSIGNED, AT_OPTICIAN, READY, DELIVERED, DISCARDED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Frame.status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AppointmentStatus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PENDING_PAYMENT, SCHEDULED, COMPLETED, MISSED, CANCELLED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Appointment.status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ShipmentStatus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PENDING, CANCELLED, REGISTERED, INFO_RECEIVED, IN_TRANSIT, AVAILABLE_FOR_PICKUP, OUT_FOR_DELIVERY, DELIVERED, DELIVERY_FAILURE, EXCEPTION, EXPIRED, NOT_FOUND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Shipment.status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ProductStatus</w:t>
            </w:r>
          </w:p>
        </w:tc>
        <w:tc>
          <w:tcPr>
            <w:tcW w:type="dxa" w:w="63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ACTIVE, DISCONTINUED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Product.status</w:t>
            </w:r>
          </w:p>
        </w:tc>
      </w:tr>
    </w:tbl>
    <w:p>
      <w:pPr>
        <w:spacing w:after="140"/>
      </w:pPr>
      <w:r>
        <w:rPr>
          <w:i/>
          <w:iCs/>
        </w:rPr>
        <w:t xml:space="preserve">ShipmentEvent.status es la única excepción: es texto libre, no una enumeración cerrada, porque transporta el valor crudo que informa 17TRACK (un carrier externo puede agregar estados sin previo aviso).</w:t>
      </w:r>
    </w:p>
    <w:p>
      <w:pPr>
        <w:pStyle w:val="Heading1"/>
        <w:spacing w:after="180" w:before="420"/>
      </w:pPr>
      <w:r>
        <w:t xml:space="preserve">Asociaciones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88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Asociación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Multiplicidad</w:t>
            </w:r>
          </w:p>
        </w:tc>
        <w:tc>
          <w:tcPr>
            <w:tcW w:type="dxa" w:w="588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Rol / significado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— Applicant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0..1 — 1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beneficiario puede autogestionarse con un login propio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Applicant — Prescription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solicitante puede tener varias recetas a lo largo del tiempo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Applicant — AnsesCertificate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0..1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único certificado vigente por solicitante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Applicant — Appointment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turnos del beneficiario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Applicant — Assignment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marcos asignados al beneficiario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 — Assignment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receta con la que se hizo el match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Donor — Frame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 marcos que donó ese donante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 — Assignment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0..1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marco tiene a lo sumo una asignación activa a la vez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Appointment — Assignment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0..1 — 0..1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Turno de retiro de un par puntual (opcional; null = atención general)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 — Shipment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0..*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envío agrupa varios marcos; un marco puede viajar más de una vez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Shipment — ShipmentEvent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eventos del carrier para ese envío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— Sale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0..*</w:t>
            </w:r>
          </w:p>
        </w:tc>
        <w:tc>
          <w:tcPr>
            <w:tcW w:type="dxa" w:w="5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ventas de ese producto</w:t>
            </w:r>
          </w:p>
        </w:tc>
      </w:tr>
    </w:tbl>
    <w:p>
      <w:pPr>
        <w:pStyle w:val="Heading1"/>
        <w:spacing w:after="180" w:before="420"/>
      </w:pPr>
      <w:r>
        <w:t xml:space="preserve">Conceptos deliberadamente sin relación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Product/Sale (catálogo de venta) no se relaciona con Donor ni Frame: son anteojos de sol para financiar la fundación, no marcos donados para beneficiarios — mezclar ambos inventarios sería un acoplamiento accidental.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Assignment no tiene un atributo de "estado": cada hito del circuito (asignado, enviado a la óptica, retornado, entregado, cancelado) es un atributo de fecha propio, y esa secuencia de fechas ES la trazabilidad (RF-16). El estado "actual" de un marco vive en Frame.status, no se duplica acá.</w:t>
      </w:r>
    </w:p>
    <w:p>
      <w:pPr>
        <w:pStyle w:val="Heading1"/>
        <w:spacing w:after="180" w:before="420"/>
      </w:pPr>
      <w:r>
        <w:t xml:space="preserve">Relación con otros artefactos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Los mismos conceptos, ya como clases de software organizadas en capas (*ServiceHandler, *Repository, DTOs), están en la Vista de Desarrollo del Documento de Arquitectura.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 materialización de estas mismas entidades como tablas relacionales (con PK, FK, tipos de columna e índices) está en el Modelo de Base de Datos.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 comportamiento de cada concepto frente a un actor está especificado en el Modelo de Casos de Uso y en los Casos de Uso Reales.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Modelo de Dominio — Banco de Anteojos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c0f355b6deabf64bfd261dfeb08e08b4c378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2026-09-26T17:21:58.903Z</dcterms:created>
  <dcterms:modified xsi:type="dcterms:W3CDTF">2026-09-26T17:21:58.905Z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