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Modelo de Casos de Uso</w:t>
      </w:r>
    </w:p>
    <w:p>
      <w:pPr>
        <w:spacing w:after="100"/>
        <w:jc w:val="center"/>
      </w:pPr>
      <w:r>
        <w:rPr>
          <w:sz w:val="28"/>
          <w:szCs w:val="28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2"/>
          <w:szCs w:val="22"/>
        </w:rPr>
        <w:t xml:space="preserve">Complementa el SRS · Proyecto Final UTN-FRT 2026 · ID T045</w:t>
      </w:r>
    </w:p>
    <w:p>
      <w:r>
        <w:br w:type="page"/>
      </w:r>
    </w:p>
    <w:p>
      <w:pPr>
        <w:pStyle w:val="Heading1"/>
        <w:spacing w:after="200" w:before="40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Actores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360"/>
      </w:tblGrid>
      <w:tr>
        <w:trPr>
          <w:tblHeader/>
        </w:trPr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type="dxa" w:w="22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536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Personal de la fundación: registra solicitantes, donaciones, asigna marcos, gestiona turnos y envíos.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Además de lo que hace el Operador, administra usuarios, configuración y el catálogo de venta.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del banco de anteojos. En el portal de autogestión pide turno, sube el comprobante del bono contribución, consulta el estado de su marco y usa el probador virtual.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Primario, humano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Público general que navega el catálogo de anteojos de sol (sin necesidad de cuenta).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RENAPER (SID)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 la identidad del solicitante a partir del DNI.</w:t>
            </w:r>
          </w:p>
        </w:tc>
      </w:tr>
      <w:tr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17TRACK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Secundario, sistema externo</w:t>
            </w:r>
          </w:p>
        </w:tc>
        <w:tc>
          <w:tcPr>
            <w:tcW w:type="dxa" w:w="536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 y notifica (webhook) el estado de los envíos de Vía Cargo.</w:t>
            </w:r>
          </w:p>
        </w:tc>
      </w:tr>
    </w:tbl>
    <w:p>
      <w:pPr>
        <w:spacing w:after="120"/>
      </w:pPr>
      <w:r>
        <w:rPr>
          <w:i/>
          <w:iCs/>
        </w:rPr>
        <w:t xml:space="preserve">Los casos de uso descriptos a continuación son esenciales: describen la intención del actor y la respuesta del sistema sin atarse a una pantalla concreta. El detalle de interacción con la interfaz (formularios, botones, mensajes) se especifica en el entregable "Casos de Uso Reales", que reutiliza los mismos identificadores (UC-01, UC-02, …) junto con los mockups correspondientes.</w:t>
      </w:r>
    </w:p>
    <w:p>
      <w:pPr>
        <w:pStyle w:val="Heading1"/>
        <w:spacing w:after="200" w:before="400"/>
      </w:pPr>
      <w:r>
        <w:t xml:space="preserve">2. Diagrama general de casos de uso</w:t>
      </w:r>
    </w:p>
    <w:p>
      <w:pPr>
        <w:spacing w:after="200"/>
        <w:jc w:val="center"/>
      </w:pPr>
      <w:r>
        <w:drawing>
          <wp:inline distT="0" distB="0" distL="0" distR="0">
            <wp:extent cx="5943600" cy="434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200" w:before="400"/>
      </w:pPr>
      <w:r>
        <w:t xml:space="preserve">3. Módulo 1 — Solicitantes y Validación</w:t>
      </w:r>
    </w:p>
    <w:p>
      <w:pPr>
        <w:spacing w:after="200"/>
        <w:jc w:val="center"/>
      </w:pPr>
      <w:r>
        <w:drawing>
          <wp:inline distT="0" distB="0" distL="0" distR="0">
            <wp:extent cx="5943600" cy="462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solicitante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ingresa datos personales y DNI del beneficiario; el sistema valida formato y unicidad, y crea el registro.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creado, identidad no validada.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Validar identidad (RENAPER)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RENAPER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registrado (UC-01).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consulta el SID de RENAPER con el DNI; si coincide, marca la identidad como validada.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Identidad validada o rechazada.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Validar identidad presencial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RENAPER no disponible.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verifica el DNI físico y confirma manualmente la identidad.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Identidad validada por vía alternativa, trazada como manual.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UC-03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Cargar certificado ANSES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registrado.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adjunta el PDF de Certificación Negativa; el sistema lo sube a R2 y lo asocia al solicitante.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Certificado cargado, pendiente de verificación.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Verificar CUIL (código de barras)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Certificado cargado (UC-03).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decodifica el código de barras del PDF y compara/asocia el CUIL contra el solicitante.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CUIL confirmado o rechazo con motivo.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UC-05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Verificar vigencia ANSES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Certificado cargado (UC-03).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extrae la fecha de emisión y calcula la antigüedad; marca vencido si supera 30 días.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Estado de vigencia informado (no bloqueante).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UC-07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receta médica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registrado.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carga los valores de graduación (y opcionalmente el archivo de la receta).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Receta registrada, disponible para el match (UC-14).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UC-08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Gestionar solicitantes (listar/editar)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busca, consulta el detalle o edita los datos de un solicitante (DNI no editable).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Listado, detalle o edición confirmada.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</w:tr>
    </w:tbl>
    <w:p>
      <w:pPr>
        <w:pStyle w:val="Heading1"/>
        <w:spacing w:after="200" w:before="400"/>
      </w:pPr>
      <w:r>
        <w:t xml:space="preserve">4. Módulo 2 — Donaciones</w:t>
      </w:r>
    </w:p>
    <w:p>
      <w:pPr>
        <w:spacing w:after="200"/>
        <w:jc w:val="center"/>
      </w:pPr>
      <w:r>
        <w:drawing>
          <wp:inline distT="0" distB="0" distL="0" distR="0">
            <wp:extent cx="59436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UC-09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donante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registra un donante (persona o entidad) con sus datos de contacto.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 creado.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UC-10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recepción de marcos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Donante registrado.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registra la cantidad y datos de los marcos recibidos; el sistema crea cada marco en estado AVAILABLE con su precinto único.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Marcos en inventario, vinculados al donante.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Clasificar marco por atributos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Marco recibido (UC-10).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carga tipo, material y medidas del marco.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Marco clasificado, disponible para el match.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Consultar donaciones y donantes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busca donantes y consulta el historial de marcos donados por cada uno.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Listado/detalle mostrado.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</w:tr>
    </w:tbl>
    <w:p>
      <w:pPr>
        <w:pStyle w:val="Heading1"/>
        <w:spacing w:after="200" w:before="400"/>
      </w:pPr>
      <w:r>
        <w:t xml:space="preserve">5. Módulo 3 — Inventario, Asignación y Trazabilidad</w:t>
      </w:r>
    </w:p>
    <w:p>
      <w:pPr>
        <w:spacing w:after="200"/>
        <w:jc w:val="center"/>
      </w:pPr>
      <w:r>
        <w:drawing>
          <wp:inline distT="0" distB="0" distL="0" distR="0">
            <wp:extent cx="59436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UC-13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Consultar inventario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consulta el inventario de marcos, filtrable por estado y atributos.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Vista de inventario actualizada.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Ejecutar match receta↔marco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Receta registrada (UC-07).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filtra/ordena los marcos disponibles compatibles con la graduación y atributos requeridos.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Lista de marcos candidatos.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UC-15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Asignar marco a beneficiario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Match ejecutado (UC-14).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elige un marco candidato; el sistema crea la asignación y descuenta el marco del inventario disponible.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Asignación creada, marco en estado ASSIGNED.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Consultar trazabilidad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Beneficiario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Asignación creada (UC-15).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consulta el historial de la asignación (envío a óptica, retorno, entrega) por asignación o por marco.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Historial mostrado.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</w:tr>
    </w:tbl>
    <w:p>
      <w:pPr>
        <w:pStyle w:val="Heading1"/>
        <w:spacing w:after="200" w:before="400"/>
      </w:pPr>
      <w:r>
        <w:t xml:space="preserve">6. Módulo 4 — Probador Virtual</w:t>
      </w:r>
    </w:p>
    <w:p>
      <w:pPr>
        <w:spacing w:after="200"/>
        <w:jc w:val="center"/>
      </w:pPr>
      <w:r>
        <w:drawing>
          <wp:inline distT="0" distB="0" distL="0" distR="0">
            <wp:extent cx="59436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UC-17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Detectar rostro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Beneficiario, 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Foto estática disponible (cámara o archivo).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MediaPipe Face Mesh procesa la foto en el navegador y obtiene los landmarks faciales.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Landmarks calculados, o estado "no disponible" si falla.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UC-18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Superponer marco (2D)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Beneficiario, 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Rostro detectado (UC-17).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sistema posiciona y escala el marco elegido sobre la foto usando Canvas; permite ajuste manual de rotación/altura.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Previsualización renderizada.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UC-19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Seleccionar marco a probar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Beneficiario, 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Superposición activa (UC-18).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usuario elige otro marco del inventario/catálogo disponible.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Previsualización recalculada para el nuevo marco.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</w:tr>
    </w:tbl>
    <w:p>
      <w:pPr>
        <w:pStyle w:val="Heading1"/>
        <w:spacing w:after="200" w:before="400"/>
      </w:pPr>
      <w:r>
        <w:t xml:space="preserve">7. Módulo 5 — Turnos y Notificaciones</w:t>
      </w:r>
    </w:p>
    <w:p>
      <w:pPr>
        <w:spacing w:after="200"/>
        <w:jc w:val="center"/>
      </w:pPr>
      <w:r>
        <w:drawing>
          <wp:inline distT="0" distB="0" distL="0" distR="0">
            <wp:extent cx="59436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turno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Beneficiario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Solicitante existente.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elige fecha/hora disponible; si lo crea el beneficiario por autogestión, el turno nace PENDING_PAYMENT.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creado.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UC-20b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Cargar comprobante de bono contribución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Beneficiario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PENDING_PAYMENT (UC-20).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beneficiario sube el comprobante de la transferencia.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pasa a SCHEDULED, dispara notificación (UC-22).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UC-21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Reprogramar o cancelar turno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Beneficiario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existente; pertenencia validada.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cambia la fecha/hora, o se cancela con motivo.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actualizado (SCHEDULED con nueva fecha, o CANCELLED).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UC-22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Notificar turno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Sistema (disparado por UC-20/UC-21)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Evento de turno ocurrido.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envía la notificación correspondiente; un fallo de envío no interrumpe el flujo principal.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Notificación entregada (best-effort).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</w:tr>
    </w:tbl>
    <w:p>
      <w:pPr>
        <w:pStyle w:val="Heading1"/>
        <w:spacing w:after="200" w:before="400"/>
      </w:pPr>
      <w:r>
        <w:t xml:space="preserve">8. Módulo 6 — Logística e Integración 17TRACK</w:t>
      </w:r>
    </w:p>
    <w:p>
      <w:pPr>
        <w:spacing w:after="200"/>
        <w:jc w:val="center"/>
      </w:pPr>
      <w:r>
        <w:drawing>
          <wp:inline distT="0" distB="0" distL="0" distR="0">
            <wp:extent cx="59436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UC-23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envío (17TRACK)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17TRACK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Marco/lote a enviar entre sucursales.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carga los datos del envío; el sistema lo registra en 17TRACK vía /register.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Envío creado y en seguimiento.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UC-24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Recibir actualización (webhook)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17TRACK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Envío registrado (UC-23).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17TRACK notifica un cambio de estado por webhook; el sistema lo valida y actualiza el envío.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Estado del envío actualizado, evento trazado.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UC-25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Consultar estado y trazabilidad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Envío registrado.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consulta el estado actual y el historial de eventos del envío.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Estado + historial mostrado.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RF-25</w:t>
            </w:r>
          </w:p>
        </w:tc>
      </w:tr>
    </w:tbl>
    <w:p>
      <w:pPr>
        <w:pStyle w:val="Heading1"/>
        <w:spacing w:after="200" w:before="400"/>
      </w:pPr>
      <w:r>
        <w:t xml:space="preserve">9. Módulo 7 — Panel de Impacto</w:t>
      </w:r>
    </w:p>
    <w:p>
      <w:pPr>
        <w:spacing w:after="200"/>
        <w:jc w:val="center"/>
      </w:pPr>
      <w:r>
        <w:drawing>
          <wp:inline distT="0" distB="0" distL="0" distR="0">
            <wp:extent cx="59436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UC-26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 panel de indicadores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Administrador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calculan agregados (entregas, beneficiarios atendidos) sobre asignaciones y turnos.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Panel mostrado.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RF-26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UC-27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Filtrar métricas por período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Operador, Administrador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Panel visible (UC-26).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elige un rango de fechas; el sistema recalcula los indicadores acotados a ese período.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Métricas del período mostradas.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RF-27</w:t>
            </w:r>
          </w:p>
        </w:tc>
      </w:tr>
    </w:tbl>
    <w:p>
      <w:pPr>
        <w:pStyle w:val="Heading1"/>
        <w:spacing w:after="200" w:before="400"/>
      </w:pPr>
      <w:r>
        <w:t xml:space="preserve">10. Módulo 8 — Catálogo de Venta</w:t>
      </w:r>
    </w:p>
    <w:p>
      <w:pPr>
        <w:spacing w:after="200"/>
        <w:jc w:val="center"/>
      </w:pPr>
      <w:r>
        <w:drawing>
          <wp:inline distT="0" distB="0" distL="0" distR="0">
            <wp:extent cx="59436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1600"/>
        <w:gridCol w:w="1700"/>
        <w:gridCol w:w="2600"/>
        <w:gridCol w:w="1900"/>
        <w:gridCol w:w="700"/>
      </w:tblGrid>
      <w:tr>
        <w:trPr>
          <w:tblHeader/>
        </w:trPr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dxa" w:w="1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Actor(es)</w:t>
            </w:r>
          </w:p>
        </w:tc>
        <w:tc>
          <w:tcPr>
            <w:tcW w:type="dxa" w:w="1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Flujo básico</w:t>
            </w:r>
          </w:p>
        </w:tc>
        <w:tc>
          <w:tcPr>
            <w:tcW w:type="dxa" w:w="19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Postcondición</w:t>
            </w:r>
          </w:p>
        </w:tc>
        <w:tc>
          <w:tcPr>
            <w:tcW w:type="dxa" w:w="7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RF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UC-28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Consultar catálogo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Comprador, 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listan los productos activos del catálogo, con imagen y precio.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mostrado.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RF-28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UC-29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Registrar venta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Operador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Stock suficiente.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operador registra la venta de un producto; el sistema descuenta stock.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Venta registrada, stock actualizado.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RF-29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UC-30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Gestionar stock del catálogo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 carga, edita o discontinúa (baja lógica) un producto.</w:t>
            </w:r>
          </w:p>
        </w:tc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Catálogo actualizado.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RF-30</w:t>
            </w:r>
          </w:p>
        </w:tc>
      </w:tr>
    </w:tbl>
    <w:p>
      <w:pPr>
        <w:pStyle w:val="Heading1"/>
        <w:spacing w:after="200" w:before="400"/>
      </w:pPr>
      <w:r>
        <w:t xml:space="preserve">11. Notas de trazabilidad</w:t>
      </w:r>
    </w:p>
    <w:p>
      <w:pPr>
        <w:spacing w:after="120"/>
      </w:pPr>
      <w:r>
        <w:t xml:space="preserve">• Correspondencia 1 a 1 con los RF del SRS, salvo UC-20/UC-20b que desagregan RF-20 para reflejar el flujo condicionado al bono contribución (decisión de diseño, no un requisito adicional).</w:t>
      </w:r>
    </w:p>
    <w:p>
      <w:pPr>
        <w:spacing w:after="120"/>
      </w:pPr>
      <w:r>
        <w:t xml:space="preserve">• Los casos de uso de este documento son esenciales: describen la intención del actor y la respuesta del sistema sin atarse a una pantalla concreta. El detalle de interacción con la UI se especifica en el entregable "Casos de Uso Reales".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Casos de Uso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d2c6adde8e0a565d0e0516b25038c2407d61585.png"/><Relationship Id="rId10" Type="http://schemas.openxmlformats.org/officeDocument/2006/relationships/image" Target="media/b4d739f5fc0186eec4801dec1c44448fa7b4f2dd.png"/><Relationship Id="rId11" Type="http://schemas.openxmlformats.org/officeDocument/2006/relationships/image" Target="media/9396b043159f5271990baa70d799bcbc292dd9eb.png"/><Relationship Id="rId12" Type="http://schemas.openxmlformats.org/officeDocument/2006/relationships/image" Target="media/10a6ae169b07b2491aedb1891d70f671668de081.png"/><Relationship Id="rId13" Type="http://schemas.openxmlformats.org/officeDocument/2006/relationships/image" Target="media/402dd81288305e5e32ced292ccff28333aff1c1b.png"/><Relationship Id="rId14" Type="http://schemas.openxmlformats.org/officeDocument/2006/relationships/image" Target="media/114f00e4f6355749d18c5f72290bab9959c6eee4.png"/><Relationship Id="rId15" Type="http://schemas.openxmlformats.org/officeDocument/2006/relationships/image" Target="media/ab584ee05792aeb6d67685e298cd74e9ed6cfabe.png"/><Relationship Id="rId16" Type="http://schemas.openxmlformats.org/officeDocument/2006/relationships/image" Target="media/799c5b81dc5871a10ade56d118bf89e5fbd059f5.png"/><Relationship Id="rId17" Type="http://schemas.openxmlformats.org/officeDocument/2006/relationships/image" Target="media/7ac6cf5f5366446f44f932b2de419e01aa88ce06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2026-09-19T16:28:17.840Z</dcterms:created>
  <dcterms:modified xsi:type="dcterms:W3CDTF">2026-09-19T16:28:17.840Z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