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Logistics OS — Общее ТЗ по продукту</w:t>
      </w:r>
    </w:p>
    <w:p>
      <w:pPr>
        <w:jc w:val="center"/>
      </w:pPr>
      <w:r>
        <w:t>Product Requirements Document • версия 3.0</w:t>
      </w:r>
    </w:p>
    <w:p>
      <w:pPr>
        <w:jc w:val="center"/>
      </w:pPr>
      <w:r>
        <w:rPr>
          <w:b/>
        </w:rPr>
        <w:t>ФИНАЛЬНАЯ РЕДАКЦИЯ ДЛЯ СТАРТА РАЗРАБОТКИ</w:t>
      </w:r>
    </w:p>
    <w:p>
      <w:pPr>
        <w:pStyle w:val="Heading1"/>
      </w:pPr>
      <w:r>
        <w:t>1. Цель продукта</w:t>
      </w:r>
    </w:p>
    <w:p>
      <w:r>
        <w:t>Создать независимую B2B платформу управления доставкой через нескольких перевозчиков. Logistics OS подключается к существующим договорам клиента с перевозчиками и, при наличии, к тарифам Logistics OS, нормализует расчет, оформление и tracking, а затем рекомендует вариант с лучшим ожидаемым бизнес-результатом.</w:t>
      </w:r>
    </w:p>
    <w:p>
      <w:pPr>
        <w:pStyle w:val="Heading1"/>
      </w:pPr>
      <w:r>
        <w:t>2. Проблема</w:t>
      </w:r>
    </w:p>
    <w:p>
      <w:pPr>
        <w:pStyle w:val="ListBullet"/>
      </w:pPr>
      <w:r>
        <w:t>Корпоративный клиент работает в нескольких кабинетах перевозчиков и вручную сравнивает тарифы/сроки.</w:t>
      </w:r>
    </w:p>
    <w:p>
      <w:pPr>
        <w:pStyle w:val="ListBullet"/>
      </w:pPr>
      <w:r>
        <w:t>Заявленный срок перевозчика не равен фактической вероятности выполнить дедлайн.</w:t>
      </w:r>
    </w:p>
    <w:p>
      <w:pPr>
        <w:pStyle w:val="ListBullet"/>
      </w:pPr>
      <w:r>
        <w:t>Базовый тариф не отражает страхование, удаленную зону, упаковку и другие доплаты.</w:t>
      </w:r>
    </w:p>
    <w:p>
      <w:pPr>
        <w:pStyle w:val="ListBullet"/>
      </w:pPr>
      <w:r>
        <w:t>Нет единого независимого массива данных по фактическому SLA, повреждениям и претензиям.</w:t>
      </w:r>
    </w:p>
    <w:p>
      <w:pPr>
        <w:pStyle w:val="ListBullet"/>
      </w:pPr>
      <w:r>
        <w:t>Решения логистов не превращаются в обучающий датасет компании.</w:t>
      </w:r>
    </w:p>
    <w:p>
      <w:pPr>
        <w:pStyle w:val="Heading1"/>
      </w:pPr>
      <w:r>
        <w:t>3. Позиционирование</w:t>
      </w:r>
    </w:p>
    <w:p>
      <w:r>
        <w:t>Logistics OS — единый интеллектуальный слой между ERP/1С/WMS/CRM клиента и перевозчиками. Это не биржа грузов и не еще один классический TMS. Центральная функция — Decision Engine: Connect → Compare → Decide → Ship → Track → Control → Settle → Learn.</w:t>
      </w:r>
    </w:p>
    <w:p>
      <w:pPr>
        <w:pStyle w:val="Heading1"/>
      </w:pPr>
      <w:r>
        <w:t>4. Целевой клиент MVP</w:t>
      </w:r>
    </w:p>
    <w:p>
      <w:pPr>
        <w:pStyle w:val="ListBullet"/>
      </w:pPr>
      <w:r>
        <w:t>B2B-компания с 100–10 000+ отправлений в месяц.</w:t>
      </w:r>
    </w:p>
    <w:p>
      <w:pPr>
        <w:pStyle w:val="ListBullet"/>
      </w:pPr>
      <w:r>
        <w:t>3–15 перевозчиков и/или несколько филиалов.</w:t>
      </w:r>
    </w:p>
    <w:p>
      <w:pPr>
        <w:pStyle w:val="ListBullet"/>
      </w:pPr>
      <w:r>
        <w:t>Parcel, express, документы, сборные грузы; FTL marketplace не входит в MVP.</w:t>
      </w:r>
    </w:p>
    <w:p>
      <w:pPr>
        <w:pStyle w:val="ListBullet"/>
      </w:pPr>
      <w:r>
        <w:t>Клиент использует 1С/ERP/WMS/CRM и заинтересован в API.</w:t>
      </w:r>
    </w:p>
    <w:p>
      <w:pPr>
        <w:pStyle w:val="ListBullet"/>
      </w:pPr>
      <w:r>
        <w:t>Цена ошибки: срыв срока, простой, повреждение, претензия, ручной труд.</w:t>
      </w:r>
    </w:p>
    <w:p>
      <w:pPr>
        <w:pStyle w:val="Heading1"/>
      </w:pPr>
      <w:r>
        <w:t>5. Пользовательские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Основные задачи</w:t>
            </w:r>
          </w:p>
        </w:tc>
      </w:tr>
      <w:tr>
        <w:tc>
          <w:tcPr>
            <w:tcW w:type="dxa" w:w="5156"/>
            <w:vAlign w:val="top"/>
          </w:tcPr>
          <w:p>
            <w:r>
              <w:t>Owner</w:t>
            </w:r>
          </w:p>
        </w:tc>
        <w:tc>
          <w:tcPr>
            <w:tcW w:type="dxa" w:w="5156"/>
            <w:vAlign w:val="top"/>
          </w:tcPr>
          <w:p>
            <w:r>
              <w:t>KPI, расходы, SLA, политика перевозчиков.</w:t>
            </w:r>
          </w:p>
        </w:tc>
      </w:tr>
      <w:tr>
        <w:tc>
          <w:tcPr>
            <w:tcW w:type="dxa" w:w="5156"/>
            <w:vAlign w:val="top"/>
          </w:tcPr>
          <w:p>
            <w:r>
              <w:t>Admin</w:t>
            </w:r>
          </w:p>
        </w:tc>
        <w:tc>
          <w:tcPr>
            <w:tcW w:type="dxa" w:w="5156"/>
            <w:vAlign w:val="top"/>
          </w:tcPr>
          <w:p>
            <w:r>
              <w:t>Интеграции, пользователи, правила, политики.</w:t>
            </w:r>
          </w:p>
        </w:tc>
      </w:tr>
      <w:tr>
        <w:tc>
          <w:tcPr>
            <w:tcW w:type="dxa" w:w="5156"/>
            <w:vAlign w:val="top"/>
          </w:tcPr>
          <w:p>
            <w:r>
              <w:t>Logistician / Operator</w:t>
            </w:r>
          </w:p>
        </w:tc>
        <w:tc>
          <w:tcPr>
            <w:tcW w:type="dxa" w:w="5156"/>
            <w:vAlign w:val="top"/>
          </w:tcPr>
          <w:p>
            <w:r>
              <w:t>Расчет, выбор, создание, tracking, исключения.</w:t>
            </w:r>
          </w:p>
        </w:tc>
      </w:tr>
      <w:tr>
        <w:tc>
          <w:tcPr>
            <w:tcW w:type="dxa" w:w="5156"/>
            <w:vAlign w:val="top"/>
          </w:tcPr>
          <w:p>
            <w:r>
              <w:t>Finance</w:t>
            </w:r>
          </w:p>
        </w:tc>
        <w:tc>
          <w:tcPr>
            <w:tcW w:type="dxa" w:w="5156"/>
            <w:vAlign w:val="top"/>
          </w:tcPr>
          <w:p>
            <w:r>
              <w:t>Счета, фактическая стоимость, расхождения.</w:t>
            </w:r>
          </w:p>
        </w:tc>
      </w:tr>
      <w:tr>
        <w:tc>
          <w:tcPr>
            <w:tcW w:type="dxa" w:w="5156"/>
            <w:vAlign w:val="top"/>
          </w:tcPr>
          <w:p>
            <w:r>
              <w:t>Viewer</w:t>
            </w:r>
          </w:p>
        </w:tc>
        <w:tc>
          <w:tcPr>
            <w:tcW w:type="dxa" w:w="5156"/>
            <w:vAlign w:val="top"/>
          </w:tcPr>
          <w:p>
            <w:r>
              <w:t>Просмотр без изменяющих операций.</w:t>
            </w:r>
          </w:p>
        </w:tc>
      </w:tr>
    </w:tbl>
    <w:p>
      <w:pPr>
        <w:pStyle w:val="Heading1"/>
      </w:pPr>
      <w:r>
        <w:t>6.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Что должно работать</w:t>
            </w:r>
          </w:p>
        </w:tc>
      </w:tr>
      <w:tr>
        <w:tc>
          <w:tcPr>
            <w:tcW w:type="dxa" w:w="3437"/>
            <w:vAlign w:val="top"/>
          </w:tcPr>
          <w:p>
            <w:r>
              <w:t>P0</w:t>
            </w:r>
          </w:p>
        </w:tc>
        <w:tc>
          <w:tcPr>
            <w:tcW w:type="dxa" w:w="3437"/>
            <w:vAlign w:val="top"/>
          </w:tcPr>
          <w:p>
            <w:r>
              <w:t>Carrier Accounts</w:t>
            </w:r>
          </w:p>
        </w:tc>
        <w:tc>
          <w:tcPr>
            <w:tcW w:type="dxa" w:w="3437"/>
            <w:vAlign w:val="top"/>
          </w:tcPr>
          <w:p>
            <w:r>
              <w:t>Подключение учетных данных и договоров перевозчиков.</w:t>
            </w:r>
          </w:p>
        </w:tc>
      </w:tr>
      <w:tr>
        <w:tc>
          <w:tcPr>
            <w:tcW w:type="dxa" w:w="3437"/>
            <w:vAlign w:val="top"/>
          </w:tcPr>
          <w:p>
            <w:r>
              <w:t>P0</w:t>
            </w:r>
          </w:p>
        </w:tc>
        <w:tc>
          <w:tcPr>
            <w:tcW w:type="dxa" w:w="3437"/>
            <w:vAlign w:val="top"/>
          </w:tcPr>
          <w:p>
            <w:r>
              <w:t>Rate Shopping</w:t>
            </w:r>
          </w:p>
        </w:tc>
        <w:tc>
          <w:tcPr>
            <w:tcW w:type="dxa" w:w="3437"/>
            <w:vAlign w:val="top"/>
          </w:tcPr>
          <w:p>
            <w:r>
              <w:t>Сравнение Total Cost, ETA, deadline, SLA/risk; тариф клиента и Logistics OS.</w:t>
            </w:r>
          </w:p>
        </w:tc>
      </w:tr>
      <w:tr>
        <w:tc>
          <w:tcPr>
            <w:tcW w:type="dxa" w:w="3437"/>
            <w:vAlign w:val="top"/>
          </w:tcPr>
          <w:p>
            <w:r>
              <w:t>P0</w:t>
            </w:r>
          </w:p>
        </w:tc>
        <w:tc>
          <w:tcPr>
            <w:tcW w:type="dxa" w:w="3437"/>
            <w:vAlign w:val="top"/>
          </w:tcPr>
          <w:p>
            <w:r>
              <w:t>Recommendation Engine</w:t>
            </w:r>
          </w:p>
        </w:tc>
        <w:tc>
          <w:tcPr>
            <w:tcW w:type="dxa" w:w="3437"/>
            <w:vAlign w:val="top"/>
          </w:tcPr>
          <w:p>
            <w:r>
              <w:t>4 стратегии и объяснение рекомендации.</w:t>
            </w:r>
          </w:p>
        </w:tc>
      </w:tr>
      <w:tr>
        <w:tc>
          <w:tcPr>
            <w:tcW w:type="dxa" w:w="3437"/>
            <w:vAlign w:val="top"/>
          </w:tcPr>
          <w:p>
            <w:r>
              <w:t>P0</w:t>
            </w:r>
          </w:p>
        </w:tc>
        <w:tc>
          <w:tcPr>
            <w:tcW w:type="dxa" w:w="3437"/>
            <w:vAlign w:val="top"/>
          </w:tcPr>
          <w:p>
            <w:r>
              <w:t>Decision History</w:t>
            </w:r>
          </w:p>
        </w:tc>
        <w:tc>
          <w:tcPr>
            <w:tcW w:type="dxa" w:w="3437"/>
            <w:vAlign w:val="top"/>
          </w:tcPr>
          <w:p>
            <w:r>
              <w:t>Recommendation → выбор → override → actual outcome.</w:t>
            </w:r>
          </w:p>
        </w:tc>
      </w:tr>
      <w:tr>
        <w:tc>
          <w:tcPr>
            <w:tcW w:type="dxa" w:w="3437"/>
            <w:vAlign w:val="top"/>
          </w:tcPr>
          <w:p>
            <w:r>
              <w:t>P0</w:t>
            </w:r>
          </w:p>
        </w:tc>
        <w:tc>
          <w:tcPr>
            <w:tcW w:type="dxa" w:w="3437"/>
            <w:vAlign w:val="top"/>
          </w:tcPr>
          <w:p>
            <w:r>
              <w:t>Shipment</w:t>
            </w:r>
          </w:p>
        </w:tc>
        <w:tc>
          <w:tcPr>
            <w:tcW w:type="dxa" w:w="3437"/>
            <w:vAlign w:val="top"/>
          </w:tcPr>
          <w:p>
            <w:r>
              <w:t>Создание отправления и получение tracking number/label.</w:t>
            </w:r>
          </w:p>
        </w:tc>
      </w:tr>
      <w:tr>
        <w:tc>
          <w:tcPr>
            <w:tcW w:type="dxa" w:w="3437"/>
            <w:vAlign w:val="top"/>
          </w:tcPr>
          <w:p>
            <w:r>
              <w:t>P0</w:t>
            </w:r>
          </w:p>
        </w:tc>
        <w:tc>
          <w:tcPr>
            <w:tcW w:type="dxa" w:w="3437"/>
            <w:vAlign w:val="top"/>
          </w:tcPr>
          <w:p>
            <w:r>
              <w:t>Tracking</w:t>
            </w:r>
          </w:p>
        </w:tc>
        <w:tc>
          <w:tcPr>
            <w:tcW w:type="dxa" w:w="3437"/>
            <w:vAlign w:val="top"/>
          </w:tcPr>
          <w:p>
            <w:r>
              <w:t>Единая статусная модель и timeline.</w:t>
            </w:r>
          </w:p>
        </w:tc>
      </w:tr>
      <w:tr>
        <w:tc>
          <w:tcPr>
            <w:tcW w:type="dxa" w:w="3437"/>
            <w:vAlign w:val="top"/>
          </w:tcPr>
          <w:p>
            <w:r>
              <w:t>P1</w:t>
            </w:r>
          </w:p>
        </w:tc>
        <w:tc>
          <w:tcPr>
            <w:tcW w:type="dxa" w:w="3437"/>
            <w:vAlign w:val="top"/>
          </w:tcPr>
          <w:p>
            <w:r>
              <w:t>Dashboard</w:t>
            </w:r>
          </w:p>
        </w:tc>
        <w:tc>
          <w:tcPr>
            <w:tcW w:type="dxa" w:w="3437"/>
            <w:vAlign w:val="top"/>
          </w:tcPr>
          <w:p>
            <w:r>
              <w:t>SLA, расходы, exceptions, savings.</w:t>
            </w:r>
          </w:p>
        </w:tc>
      </w:tr>
      <w:tr>
        <w:tc>
          <w:tcPr>
            <w:tcW w:type="dxa" w:w="3437"/>
            <w:vAlign w:val="top"/>
          </w:tcPr>
          <w:p>
            <w:r>
              <w:t>P1</w:t>
            </w:r>
          </w:p>
        </w:tc>
        <w:tc>
          <w:tcPr>
            <w:tcW w:type="dxa" w:w="3437"/>
            <w:vAlign w:val="top"/>
          </w:tcPr>
          <w:p>
            <w:r>
              <w:t>Carrier Score</w:t>
            </w:r>
          </w:p>
        </w:tc>
        <w:tc>
          <w:tcPr>
            <w:tcW w:type="dxa" w:w="3437"/>
            <w:vAlign w:val="top"/>
          </w:tcPr>
          <w:p>
            <w:r>
              <w:t>On-time, risk, claims, confidence.</w:t>
            </w:r>
          </w:p>
        </w:tc>
      </w:tr>
      <w:tr>
        <w:tc>
          <w:tcPr>
            <w:tcW w:type="dxa" w:w="3437"/>
            <w:vAlign w:val="top"/>
          </w:tcPr>
          <w:p>
            <w:r>
              <w:t>P1</w:t>
            </w:r>
          </w:p>
        </w:tc>
        <w:tc>
          <w:tcPr>
            <w:tcW w:type="dxa" w:w="3437"/>
            <w:vAlign w:val="top"/>
          </w:tcPr>
          <w:p>
            <w:r>
              <w:t>Auto Select</w:t>
            </w:r>
          </w:p>
        </w:tc>
        <w:tc>
          <w:tcPr>
            <w:tcW w:type="dxa" w:w="3437"/>
            <w:vAlign w:val="top"/>
          </w:tcPr>
          <w:p>
            <w:r>
              <w:t>Автовыбор при выполнении корпоративной политики.</w:t>
            </w:r>
          </w:p>
        </w:tc>
      </w:tr>
      <w:tr>
        <w:tc>
          <w:tcPr>
            <w:tcW w:type="dxa" w:w="3437"/>
            <w:vAlign w:val="top"/>
          </w:tcPr>
          <w:p>
            <w:r>
              <w:t>P2</w:t>
            </w:r>
          </w:p>
        </w:tc>
        <w:tc>
          <w:tcPr>
            <w:tcW w:type="dxa" w:w="3437"/>
            <w:vAlign w:val="top"/>
          </w:tcPr>
          <w:p>
            <w:r>
              <w:t>Billing Lite</w:t>
            </w:r>
          </w:p>
        </w:tc>
        <w:tc>
          <w:tcPr>
            <w:tcW w:type="dxa" w:w="3437"/>
            <w:vAlign w:val="top"/>
          </w:tcPr>
          <w:p>
            <w:r>
              <w:t>Quoted vs actual cost и импорт/сверка счетов.</w:t>
            </w:r>
          </w:p>
        </w:tc>
      </w:tr>
      <w:tr>
        <w:tc>
          <w:tcPr>
            <w:tcW w:type="dxa" w:w="3437"/>
            <w:vAlign w:val="top"/>
          </w:tcPr>
          <w:p>
            <w:r>
              <w:t>P2</w:t>
            </w:r>
          </w:p>
        </w:tc>
        <w:tc>
          <w:tcPr>
            <w:tcW w:type="dxa" w:w="3437"/>
            <w:vAlign w:val="top"/>
          </w:tcPr>
          <w:p>
            <w:r>
              <w:t>Routing Rules</w:t>
            </w:r>
          </w:p>
        </w:tc>
        <w:tc>
          <w:tcPr>
            <w:tcW w:type="dxa" w:w="3437"/>
            <w:vAlign w:val="top"/>
          </w:tcPr>
          <w:p>
            <w:r>
              <w:t>Whitelist/blacklist, запреты, пороги страхования.</w:t>
            </w:r>
          </w:p>
        </w:tc>
      </w:tr>
    </w:tbl>
    <w:p>
      <w:pPr>
        <w:pStyle w:val="Heading1"/>
      </w:pPr>
      <w:r>
        <w:t>7. Rate Shopping — окончательные бизнес-правила</w:t>
      </w:r>
    </w:p>
    <w:p>
      <w:pPr>
        <w:pStyle w:val="ListBullet"/>
      </w:pPr>
      <w:r>
        <w:t>Дедлайн задается как дата или дата+время и является hard constraint для активной рекомендации.</w:t>
      </w:r>
    </w:p>
    <w:p>
      <w:pPr>
        <w:pStyle w:val="ListBullet"/>
      </w:pPr>
      <w:r>
        <w:t>Опоздавшие варианты не скрываются: показываются ниже с ETA и величиной опоздания.</w:t>
      </w:r>
    </w:p>
    <w:p>
      <w:pPr>
        <w:pStyle w:val="ListBullet"/>
      </w:pPr>
      <w:r>
        <w:t>Если никто не успевает, система сообщает об отсутствии eligible вариантов и показывает ближайшие альтернативы.</w:t>
      </w:r>
    </w:p>
    <w:p>
      <w:pPr>
        <w:pStyle w:val="ListBullet"/>
      </w:pPr>
      <w:r>
        <w:t>Сравниваются тариф клиента и тариф Logistics OS как разные предложения.</w:t>
      </w:r>
    </w:p>
    <w:p>
      <w:pPr>
        <w:pStyle w:val="ListBullet"/>
      </w:pPr>
      <w:r>
        <w:t>Total Cost включает базовый тариф, страхование и все обязательные доплаты.</w:t>
      </w:r>
    </w:p>
    <w:p>
      <w:pPr>
        <w:pStyle w:val="ListBullet"/>
      </w:pPr>
      <w:r>
        <w:t>Страхование рассчитывается как % от стоимости груза; tenant задает порог обязательного страхования; authorized user может override с аудитом.</w:t>
      </w:r>
    </w:p>
    <w:p>
      <w:pPr>
        <w:pStyle w:val="ListBullet"/>
      </w:pPr>
      <w:r>
        <w:t>Стратегии: Оптимальный (default), Самый дешевый, Самый быстрый, Самый надежный.</w:t>
      </w:r>
    </w:p>
    <w:p>
      <w:pPr>
        <w:pStyle w:val="ListBullet"/>
      </w:pPr>
      <w:r>
        <w:t>Внутренние математические веса пользователю не показываются.</w:t>
      </w:r>
    </w:p>
    <w:p>
      <w:pPr>
        <w:pStyle w:val="ListBullet"/>
      </w:pPr>
      <w:r>
        <w:t>Цена не является hard cap для Optimal: более дорогой вариант допустимо рекомендовать, если это объясняется сроком/SLA/risk.</w:t>
      </w:r>
    </w:p>
    <w:p>
      <w:pPr>
        <w:pStyle w:val="ListBullet"/>
      </w:pPr>
      <w:r>
        <w:t>Показывать запас до дедлайна, on-time probability % + категория, Carrier Score, Risk, Confidence.</w:t>
      </w:r>
    </w:p>
    <w:p>
      <w:pPr>
        <w:pStyle w:val="ListBullet"/>
      </w:pPr>
      <w:r>
        <w:t>Whitelist/blacklist может задаваться корпоративно и на конкретную отправку.</w:t>
      </w:r>
    </w:p>
    <w:p>
      <w:pPr>
        <w:pStyle w:val="Heading1"/>
      </w:pPr>
      <w:r>
        <w:t>8. Decision History и AI-ready data</w:t>
      </w:r>
    </w:p>
    <w:p>
      <w:pPr>
        <w:pStyle w:val="ListBullet"/>
      </w:pPr>
      <w:r>
        <w:t>Сохранять snapshot всех предложений на момент решения.</w:t>
      </w:r>
    </w:p>
    <w:p>
      <w:pPr>
        <w:pStyle w:val="ListBullet"/>
      </w:pPr>
      <w:r>
        <w:t>Сохранять recommendation, strategy, algorithm_version, policy_version.</w:t>
      </w:r>
    </w:p>
    <w:p>
      <w:pPr>
        <w:pStyle w:val="ListBullet"/>
      </w:pPr>
      <w:r>
        <w:t>Сохранять выбранный вариант, пользователя, время, override reason/comment.</w:t>
      </w:r>
    </w:p>
    <w:p>
      <w:pPr>
        <w:pStyle w:val="ListBullet"/>
      </w:pPr>
      <w:r>
        <w:t>После доставки присоединять actual delivered_at, deadline hit/miss, actual cost, damage, claim.</w:t>
      </w:r>
    </w:p>
    <w:p>
      <w:pPr>
        <w:pStyle w:val="ListBullet"/>
      </w:pPr>
      <w:r>
        <w:t>Исторические recommendation/offer snapshot не пересчитывать задним числом.</w:t>
      </w:r>
    </w:p>
    <w:p>
      <w:pPr>
        <w:pStyle w:val="ListBullet"/>
      </w:pPr>
      <w:r>
        <w:t>Основные будущие метрики: Recommendation Acceptance Rate, Override Rate, on-time calibration, cost prediction error, claims rate, expected-loss model.</w:t>
      </w:r>
    </w:p>
    <w:p>
      <w:pPr>
        <w:pStyle w:val="Heading1"/>
      </w:pPr>
      <w:r>
        <w:t>9. Основные KPI пилота</w:t>
      </w:r>
    </w:p>
    <w:p>
      <w:pPr>
        <w:pStyle w:val="ListBullet"/>
      </w:pPr>
      <w:r>
        <w:t>5 интегрированных перевозчиков.</w:t>
      </w:r>
    </w:p>
    <w:p>
      <w:pPr>
        <w:pStyle w:val="ListBullet"/>
      </w:pPr>
      <w:r>
        <w:t>3–5 пилотных корпоративных клиентов.</w:t>
      </w:r>
    </w:p>
    <w:p>
      <w:pPr>
        <w:pStyle w:val="ListBullet"/>
      </w:pPr>
      <w:r>
        <w:t>10 000+ реальных отправлений для первичной аналитики.</w:t>
      </w:r>
    </w:p>
    <w:p>
      <w:pPr>
        <w:pStyle w:val="ListBullet"/>
      </w:pPr>
      <w:r>
        <w:t>≥95% успешных create-shipment операций при валидных данных.</w:t>
      </w:r>
    </w:p>
    <w:p>
      <w:pPr>
        <w:pStyle w:val="ListBullet"/>
      </w:pPr>
      <w:r>
        <w:t>≥98% нормализованных tracking events без ручной классификации.</w:t>
      </w:r>
    </w:p>
    <w:p>
      <w:pPr>
        <w:pStyle w:val="ListBullet"/>
      </w:pPr>
      <w:r>
        <w:t>Снижение ручных операций логиста ≥50% в пилотном процессе.</w:t>
      </w:r>
    </w:p>
    <w:p>
      <w:pPr>
        <w:pStyle w:val="ListBullet"/>
      </w:pPr>
      <w:r>
        <w:t>Измеряемый Recommendation Acceptance Rate с первого дня.</w:t>
      </w:r>
    </w:p>
    <w:p>
      <w:pPr>
        <w:pStyle w:val="ListBullet"/>
      </w:pPr>
      <w:r>
        <w:t>Проверка willingness-to-pay за SaaS/API отдельно от транспортной маржи.</w:t>
      </w:r>
    </w:p>
    <w:p>
      <w:pPr>
        <w:pStyle w:val="Heading1"/>
      </w:pPr>
      <w:r>
        <w:t>10. Не входит в MVP</w:t>
      </w:r>
    </w:p>
    <w:p>
      <w:pPr>
        <w:pStyle w:val="ListBullet"/>
      </w:pPr>
      <w:r>
        <w:t>Биржа грузов, FTL tender/auction marketplace.</w:t>
      </w:r>
    </w:p>
    <w:p>
      <w:pPr>
        <w:pStyle w:val="ListBullet"/>
      </w:pPr>
      <w:r>
        <w:t>Управление собственным автопарком/водителями.</w:t>
      </w:r>
    </w:p>
    <w:p>
      <w:pPr>
        <w:pStyle w:val="ListBullet"/>
      </w:pPr>
      <w:r>
        <w:t>Полноценная WMS.</w:t>
      </w:r>
    </w:p>
    <w:p>
      <w:pPr>
        <w:pStyle w:val="ListBullet"/>
      </w:pPr>
      <w:r>
        <w:t>Собственная курьерская сеть.</w:t>
      </w:r>
    </w:p>
    <w:p>
      <w:pPr>
        <w:pStyle w:val="ListBullet"/>
      </w:pPr>
      <w:r>
        <w:t>IoT shock/tilt/GPS в первой версии; архитектура должна позволять добавить Cargo Control позднее.</w:t>
      </w:r>
    </w:p>
    <w:p>
      <w:pPr>
        <w:pStyle w:val="ListBullet"/>
      </w:pPr>
      <w:r>
        <w:t>ML как обязательный механизм routing: первая версия rule/score based.</w:t>
      </w:r>
    </w:p>
    <w:p>
      <w:pPr>
        <w:pStyle w:val="Heading1"/>
      </w:pPr>
      <w:r>
        <w:t>11. Критерий готовности продукта к пилоту</w:t>
      </w:r>
    </w:p>
    <w:p>
      <w:pPr>
        <w:pStyle w:val="ListBullet"/>
      </w:pPr>
      <w:r>
        <w:t>Оператор может пройти полный путь от параметров груза до созданной отправки и tracking без входа в кабинет перевозчика.</w:t>
      </w:r>
    </w:p>
    <w:p>
      <w:pPr>
        <w:pStyle w:val="ListBullet"/>
      </w:pPr>
      <w:r>
        <w:t>Rate Shopping показывает объяснимую рекомендацию и полную стоимость.</w:t>
      </w:r>
    </w:p>
    <w:p>
      <w:pPr>
        <w:pStyle w:val="ListBullet"/>
      </w:pPr>
      <w:r>
        <w:t>Сбой одного перевозчика не ломает расчет остальных.</w:t>
      </w:r>
    </w:p>
    <w:p>
      <w:pPr>
        <w:pStyle w:val="ListBullet"/>
      </w:pPr>
      <w:r>
        <w:t>Каждое решение связано с immutable snapshot.</w:t>
      </w:r>
    </w:p>
    <w:p>
      <w:pPr>
        <w:pStyle w:val="ListBullet"/>
      </w:pPr>
      <w:r>
        <w:t>Есть audit trail и роли.</w:t>
      </w:r>
    </w:p>
    <w:p>
      <w:pPr>
        <w:pStyle w:val="ListBullet"/>
      </w:pPr>
      <w:r>
        <w:t>Пилотный клиент может подключить хотя бы 2 собственных договора перевозчиков.</w:t>
      </w:r>
    </w:p>
    <w:p>
      <w:pPr>
        <w:pStyle w:val="Heading1"/>
      </w:pPr>
      <w:r>
        <w:t>Источники по API перевозчиков</w:t>
      </w:r>
    </w:p>
    <w:p>
      <w:r>
        <w:t>Источники используются для фиксации возможностей интеграции. Конкретные поля и методы должны быть повторно проверены разработчиком при подключении боевых учетных данных, так как API перевозчиков могут изменяться.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URL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Что подтверждает</w:t>
            </w:r>
          </w:p>
        </w:tc>
      </w:tr>
      <w:tr>
        <w:tc>
          <w:tcPr>
            <w:tcW w:type="dxa" w:w="3437"/>
            <w:vAlign w:val="top"/>
          </w:tcPr>
          <w:p>
            <w:r>
              <w:t>Major Express developer wiki</w:t>
            </w:r>
          </w:p>
        </w:tc>
        <w:tc>
          <w:tcPr>
            <w:tcW w:type="dxa" w:w="3437"/>
            <w:vAlign w:val="top"/>
          </w:tcPr>
          <w:p>
            <w:r>
              <w:t>https://developers.major-express.ru/web-servisy-2/</w:t>
            </w:r>
          </w:p>
        </w:tc>
        <w:tc>
          <w:tcPr>
            <w:tcW w:type="dxa" w:w="3437"/>
            <w:vAlign w:val="top"/>
          </w:tcPr>
          <w:p>
            <w:r>
              <w:t>Клиентские веб-сервисы для экспресс-доставки и сборных грузов; SOAP/WSDL, методы расчета, создания накладной и справочники.</w:t>
            </w:r>
          </w:p>
        </w:tc>
      </w:tr>
      <w:tr>
        <w:tc>
          <w:tcPr>
            <w:tcW w:type="dxa" w:w="3437"/>
            <w:vAlign w:val="top"/>
          </w:tcPr>
          <w:p>
            <w:r>
              <w:t>Major Express Calculator1</w:t>
            </w:r>
          </w:p>
        </w:tc>
        <w:tc>
          <w:tcPr>
            <w:tcW w:type="dxa" w:w="3437"/>
            <w:vAlign w:val="top"/>
          </w:tcPr>
          <w:p>
            <w:r>
              <w:t>https://developers.major-express.ru/web-servisy-2/web-servis-klientskij/ekspress-dostavka/metody/prochie/kalkulyator-stoimostej-i-srokov-s-uchetom-skidok-klienta-s-ukazaniem-parametrov-mest/</w:t>
            </w:r>
          </w:p>
        </w:tc>
        <w:tc>
          <w:tcPr>
            <w:tcW w:type="dxa" w:w="3437"/>
            <w:vAlign w:val="top"/>
          </w:tcPr>
          <w:p>
            <w:r>
              <w:t>Расчет стоимости и срока с учетом договора клиента и параметров мест.</w:t>
            </w:r>
          </w:p>
        </w:tc>
      </w:tr>
      <w:tr>
        <w:tc>
          <w:tcPr>
            <w:tcW w:type="dxa" w:w="3437"/>
            <w:vAlign w:val="top"/>
          </w:tcPr>
          <w:p>
            <w:r>
              <w:t>CDEK Developers</w:t>
            </w:r>
          </w:p>
        </w:tc>
        <w:tc>
          <w:tcPr>
            <w:tcW w:type="dxa" w:w="3437"/>
            <w:vAlign w:val="top"/>
          </w:tcPr>
          <w:p>
            <w:r>
              <w:t>https://developer.cdek.ru/</w:t>
            </w:r>
          </w:p>
        </w:tc>
        <w:tc>
          <w:tcPr>
            <w:tcW w:type="dxa" w:w="3437"/>
            <w:vAlign w:val="top"/>
          </w:tcPr>
          <w:p>
            <w:r>
              <w:t>Официальная платформа интеграции СДЭК; расчет, накладные, статусы, документы и интеграционные сценарии.</w:t>
            </w:r>
          </w:p>
        </w:tc>
      </w:tr>
      <w:tr>
        <w:tc>
          <w:tcPr>
            <w:tcW w:type="dxa" w:w="3437"/>
            <w:vAlign w:val="top"/>
          </w:tcPr>
          <w:p>
            <w:r>
              <w:t>Деловые Линии API</w:t>
            </w:r>
          </w:p>
        </w:tc>
        <w:tc>
          <w:tcPr>
            <w:tcW w:type="dxa" w:w="3437"/>
            <w:vAlign w:val="top"/>
          </w:tcPr>
          <w:p>
            <w:r>
              <w:t>https://dev.dellin.ru/api/</w:t>
            </w:r>
          </w:p>
        </w:tc>
        <w:tc>
          <w:tcPr>
            <w:tcW w:type="dxa" w:w="3437"/>
            <w:vAlign w:val="top"/>
          </w:tcPr>
          <w:p>
            <w:r>
              <w:t>Официальная документация API.</w:t>
            </w:r>
          </w:p>
        </w:tc>
      </w:tr>
      <w:tr>
        <w:tc>
          <w:tcPr>
            <w:tcW w:type="dxa" w:w="3437"/>
            <w:vAlign w:val="top"/>
          </w:tcPr>
          <w:p>
            <w:r>
              <w:t>Деловые Линии Calculator</w:t>
            </w:r>
          </w:p>
        </w:tc>
        <w:tc>
          <w:tcPr>
            <w:tcW w:type="dxa" w:w="3437"/>
            <w:vAlign w:val="top"/>
          </w:tcPr>
          <w:p>
            <w:r>
              <w:t>https://dev.dellin.ru/api/examples/calculation/</w:t>
            </w:r>
          </w:p>
        </w:tc>
        <w:tc>
          <w:tcPr>
            <w:tcW w:type="dxa" w:w="3437"/>
            <w:vAlign w:val="top"/>
          </w:tcPr>
          <w:p>
            <w:r>
              <w:t>Расчет стоимости/сроков через API.</w:t>
            </w:r>
          </w:p>
        </w:tc>
      </w:tr>
      <w:tr>
        <w:tc>
          <w:tcPr>
            <w:tcW w:type="dxa" w:w="3437"/>
            <w:vAlign w:val="top"/>
          </w:tcPr>
          <w:p>
            <w:r>
              <w:t>ПЭК Public API</w:t>
            </w:r>
          </w:p>
        </w:tc>
        <w:tc>
          <w:tcPr>
            <w:tcW w:type="dxa" w:w="3437"/>
            <w:vAlign w:val="top"/>
          </w:tcPr>
          <w:p>
            <w:r>
              <w:t>https://pecom.ru/business/developers/api_public/</w:t>
            </w:r>
          </w:p>
        </w:tc>
        <w:tc>
          <w:tcPr>
            <w:tcW w:type="dxa" w:w="3437"/>
            <w:vAlign w:val="top"/>
          </w:tcPr>
          <w:p>
            <w:r>
              <w:t>Публичный расчет стоимости и дополнительных услуг; расширенные функции через API личного кабинета.</w:t>
            </w:r>
          </w:p>
        </w:tc>
      </w:tr>
      <w:tr>
        <w:tc>
          <w:tcPr>
            <w:tcW w:type="dxa" w:w="3437"/>
            <w:vAlign w:val="top"/>
          </w:tcPr>
          <w:p>
            <w:r>
              <w:t>ПЭК Calculator API</w:t>
            </w:r>
          </w:p>
        </w:tc>
        <w:tc>
          <w:tcPr>
            <w:tcW w:type="dxa" w:w="3437"/>
            <w:vAlign w:val="top"/>
          </w:tcPr>
          <w:p>
            <w:r>
              <w:t>https://test-kabinet.pecom.ru/preweb/api/v1/help/calculator</w:t>
            </w:r>
          </w:p>
        </w:tc>
        <w:tc>
          <w:tcPr>
            <w:tcW w:type="dxa" w:w="3437"/>
            <w:vAlign w:val="top"/>
          </w:tcPr>
          <w:p>
            <w:r>
              <w:t>Расчет стоимости и сроков для зарегистрированных пользователей.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API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</w:t>
            </w:r>
          </w:p>
        </w:tc>
        <w:tc>
          <w:tcPr>
            <w:tcW w:type="dxa" w:w="3437"/>
            <w:vAlign w:val="top"/>
          </w:tcPr>
          <w:p>
            <w:r>
              <w:t>HTTP API управления доставкой.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quickstart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https://yandex.com/support/delivery-profile/ru/api/express/quickstart</w:t>
            </w:r>
          </w:p>
        </w:tc>
        <w:tc>
          <w:tcPr>
            <w:tcW w:type="dxa" w:w="3437"/>
            <w:vAlign w:val="top"/>
          </w:tcPr>
          <w:p>
            <w:r>
              <w:t>Расчет, создание, подтверждение и отслеживание заказа.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по России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https://yandex.com/support/delivery-profile/ru/api/other-day/</w:t>
            </w:r>
          </w:p>
        </w:tc>
        <w:tc>
          <w:tcPr>
            <w:tcW w:type="dxa" w:w="3437"/>
            <w:vAlign w:val="top"/>
          </w:tcPr>
          <w:p>
            <w:r>
              <w:t>API доставки по России, тестовый и боевой контуры.</w:t>
            </w:r>
          </w:p>
        </w:tc>
      </w:tr>
    </w:tbl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