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Logistics OS — Общее системное ТЗ</w:t>
      </w:r>
    </w:p>
    <w:p>
      <w:pPr>
        <w:jc w:val="center"/>
      </w:pPr>
      <w:r>
        <w:t>Функциональная архитектура, логистика и интеграции • версия 3.0</w:t>
      </w:r>
    </w:p>
    <w:p>
      <w:pPr>
        <w:jc w:val="center"/>
      </w:pPr>
      <w:r>
        <w:rPr>
          <w:b/>
        </w:rPr>
        <w:t>ФИНАЛЬНАЯ РЕДАКЦИЯ ДЛЯ СТАРТА РАЗРАБОТКИ</w:t>
      </w:r>
    </w:p>
    <w:p>
      <w:pPr>
        <w:pStyle w:val="Heading1"/>
      </w:pPr>
      <w:r>
        <w:t>1. Назначение системы</w:t>
      </w:r>
    </w:p>
    <w:p>
      <w:r>
        <w:t>Документ определяет функциональную модель Logistics OS как логистической информационной системы: процессы, сущности, интеграционный слой, статусную модель, carrier adapters, правила расчета и эксплуатационные требования.</w:t>
      </w:r>
    </w:p>
    <w:p>
      <w:pPr>
        <w:pStyle w:val="Heading1"/>
      </w:pPr>
      <w:r>
        <w:t>2. Контекстная архитектура</w:t>
      </w:r>
    </w:p>
    <w:p>
      <w:r>
        <w:t>ERP / 1С / WMS / CRM клиента → Logistics OS API/UI → Carrier Adapter Layer → API перевозчиков. Внутри Logistics OS: Rate Engine, Routing Engine, Shipment Service, Tracking Service, Carrier Intelligence, Billing Lite, Decision History, Audit/Observability.</w:t>
      </w:r>
    </w:p>
    <w:p>
      <w:pPr>
        <w:pStyle w:val="Heading1"/>
      </w:pPr>
      <w:r>
        <w:t>3. End-to-end процесс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D9EAF7"/>
            <w:vAlign w:val="center"/>
          </w:tcPr>
          <w:p>
            <w:r>
              <w:rPr>
                <w:b/>
              </w:rPr>
              <w:t>Шаг</w:t>
            </w:r>
          </w:p>
        </w:tc>
        <w:tc>
          <w:tcPr>
            <w:tcW w:type="dxa" w:w="3437"/>
            <w:shd w:fill="D9EAF7"/>
            <w:vAlign w:val="center"/>
          </w:tcPr>
          <w:p>
            <w:r>
              <w:rPr>
                <w:b/>
              </w:rPr>
              <w:t>Система</w:t>
            </w:r>
          </w:p>
        </w:tc>
        <w:tc>
          <w:tcPr>
            <w:tcW w:type="dxa" w:w="3437"/>
            <w:shd w:fill="D9EAF7"/>
            <w:vAlign w:val="center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3437"/>
            <w:vAlign w:val="top"/>
          </w:tcPr>
          <w:p>
            <w:r>
              <w:t>1. Input</w:t>
            </w:r>
          </w:p>
        </w:tc>
        <w:tc>
          <w:tcPr>
            <w:tcW w:type="dxa" w:w="3437"/>
            <w:vAlign w:val="top"/>
          </w:tcPr>
          <w:p>
            <w:r>
              <w:t>UI/API получает маршрут, груз, стоимость, deadline, services.</w:t>
            </w:r>
          </w:p>
        </w:tc>
        <w:tc>
          <w:tcPr>
            <w:tcW w:type="dxa" w:w="3437"/>
            <w:vAlign w:val="top"/>
          </w:tcPr>
          <w:p>
            <w:r>
              <w:t>Shipment draft.</w:t>
            </w:r>
          </w:p>
        </w:tc>
      </w:tr>
      <w:tr>
        <w:tc>
          <w:tcPr>
            <w:tcW w:type="dxa" w:w="3437"/>
            <w:vAlign w:val="top"/>
          </w:tcPr>
          <w:p>
            <w:r>
              <w:t>2. Quote</w:t>
            </w:r>
          </w:p>
        </w:tc>
        <w:tc>
          <w:tcPr>
            <w:tcW w:type="dxa" w:w="3437"/>
            <w:vAlign w:val="top"/>
          </w:tcPr>
          <w:p>
            <w:r>
              <w:t>Rate Engine параллельно вызывает adapters.</w:t>
            </w:r>
          </w:p>
        </w:tc>
        <w:tc>
          <w:tcPr>
            <w:tcW w:type="dxa" w:w="3437"/>
            <w:vAlign w:val="top"/>
          </w:tcPr>
          <w:p>
            <w:r>
              <w:t>Нормализованные offers + partial failures.</w:t>
            </w:r>
          </w:p>
        </w:tc>
      </w:tr>
      <w:tr>
        <w:tc>
          <w:tcPr>
            <w:tcW w:type="dxa" w:w="3437"/>
            <w:vAlign w:val="top"/>
          </w:tcPr>
          <w:p>
            <w:r>
              <w:t>3. Normalize</w:t>
            </w:r>
          </w:p>
        </w:tc>
        <w:tc>
          <w:tcPr>
            <w:tcW w:type="dxa" w:w="3437"/>
            <w:vAlign w:val="top"/>
          </w:tcPr>
          <w:p>
            <w:r>
              <w:t>Стоимость, ETA, услуги, ограничения приводятся к единой модели.</w:t>
            </w:r>
          </w:p>
        </w:tc>
        <w:tc>
          <w:tcPr>
            <w:tcW w:type="dxa" w:w="3437"/>
            <w:vAlign w:val="top"/>
          </w:tcPr>
          <w:p>
            <w:r>
              <w:t>Total Cost + eligibility.</w:t>
            </w:r>
          </w:p>
        </w:tc>
      </w:tr>
      <w:tr>
        <w:tc>
          <w:tcPr>
            <w:tcW w:type="dxa" w:w="3437"/>
            <w:vAlign w:val="top"/>
          </w:tcPr>
          <w:p>
            <w:r>
              <w:t>4. Recommend</w:t>
            </w:r>
          </w:p>
        </w:tc>
        <w:tc>
          <w:tcPr>
            <w:tcW w:type="dxa" w:w="3437"/>
            <w:vAlign w:val="top"/>
          </w:tcPr>
          <w:p>
            <w:r>
              <w:t>Routing Engine применяет hard constraints и strategy.</w:t>
            </w:r>
          </w:p>
        </w:tc>
        <w:tc>
          <w:tcPr>
            <w:tcW w:type="dxa" w:w="3437"/>
            <w:vAlign w:val="top"/>
          </w:tcPr>
          <w:p>
            <w:r>
              <w:t>Recommendation + explanation.</w:t>
            </w:r>
          </w:p>
        </w:tc>
      </w:tr>
      <w:tr>
        <w:tc>
          <w:tcPr>
            <w:tcW w:type="dxa" w:w="3437"/>
            <w:vAlign w:val="top"/>
          </w:tcPr>
          <w:p>
            <w:r>
              <w:t>5. Decide</w:t>
            </w:r>
          </w:p>
        </w:tc>
        <w:tc>
          <w:tcPr>
            <w:tcW w:type="dxa" w:w="3437"/>
            <w:vAlign w:val="top"/>
          </w:tcPr>
          <w:p>
            <w:r>
              <w:t>Human/Auto Select подтверждает offer.</w:t>
            </w:r>
          </w:p>
        </w:tc>
        <w:tc>
          <w:tcPr>
            <w:tcW w:type="dxa" w:w="3437"/>
            <w:vAlign w:val="top"/>
          </w:tcPr>
          <w:p>
            <w:r>
              <w:t>Immutable Decision Snapshot.</w:t>
            </w:r>
          </w:p>
        </w:tc>
      </w:tr>
      <w:tr>
        <w:tc>
          <w:tcPr>
            <w:tcW w:type="dxa" w:w="3437"/>
            <w:vAlign w:val="top"/>
          </w:tcPr>
          <w:p>
            <w:r>
              <w:t>6. Ship</w:t>
            </w:r>
          </w:p>
        </w:tc>
        <w:tc>
          <w:tcPr>
            <w:tcW w:type="dxa" w:w="3437"/>
            <w:vAlign w:val="top"/>
          </w:tcPr>
          <w:p>
            <w:r>
              <w:t>Shipment Service вызывает create_shipment.</w:t>
            </w:r>
          </w:p>
        </w:tc>
        <w:tc>
          <w:tcPr>
            <w:tcW w:type="dxa" w:w="3437"/>
            <w:vAlign w:val="top"/>
          </w:tcPr>
          <w:p>
            <w:r>
              <w:t>Carrier shipment ID, tracking number, label.</w:t>
            </w:r>
          </w:p>
        </w:tc>
      </w:tr>
      <w:tr>
        <w:tc>
          <w:tcPr>
            <w:tcW w:type="dxa" w:w="3437"/>
            <w:vAlign w:val="top"/>
          </w:tcPr>
          <w:p>
            <w:r>
              <w:t>7. Track</w:t>
            </w:r>
          </w:p>
        </w:tc>
        <w:tc>
          <w:tcPr>
            <w:tcW w:type="dxa" w:w="3437"/>
            <w:vAlign w:val="top"/>
          </w:tcPr>
          <w:p>
            <w:r>
              <w:t>Webhook/polling нормализует события.</w:t>
            </w:r>
          </w:p>
        </w:tc>
        <w:tc>
          <w:tcPr>
            <w:tcW w:type="dxa" w:w="3437"/>
            <w:vAlign w:val="top"/>
          </w:tcPr>
          <w:p>
            <w:r>
              <w:t>Unified timeline + exceptions.</w:t>
            </w:r>
          </w:p>
        </w:tc>
      </w:tr>
      <w:tr>
        <w:tc>
          <w:tcPr>
            <w:tcW w:type="dxa" w:w="3437"/>
            <w:vAlign w:val="top"/>
          </w:tcPr>
          <w:p>
            <w:r>
              <w:t>8. Close</w:t>
            </w:r>
          </w:p>
        </w:tc>
        <w:tc>
          <w:tcPr>
            <w:tcW w:type="dxa" w:w="3437"/>
            <w:vAlign w:val="top"/>
          </w:tcPr>
          <w:p>
            <w:r>
              <w:t>Delivered + invoice/claim data.</w:t>
            </w:r>
          </w:p>
        </w:tc>
        <w:tc>
          <w:tcPr>
            <w:tcW w:type="dxa" w:w="3437"/>
            <w:vAlign w:val="top"/>
          </w:tcPr>
          <w:p>
            <w:r>
              <w:t>Delivery Outcome.</w:t>
            </w:r>
          </w:p>
        </w:tc>
      </w:tr>
      <w:tr>
        <w:tc>
          <w:tcPr>
            <w:tcW w:type="dxa" w:w="3437"/>
            <w:vAlign w:val="top"/>
          </w:tcPr>
          <w:p>
            <w:r>
              <w:t>9. Learn</w:t>
            </w:r>
          </w:p>
        </w:tc>
        <w:tc>
          <w:tcPr>
            <w:tcW w:type="dxa" w:w="3437"/>
            <w:vAlign w:val="top"/>
          </w:tcPr>
          <w:p>
            <w:r>
              <w:t>Carrier Intelligence агрегирует факт.</w:t>
            </w:r>
          </w:p>
        </w:tc>
        <w:tc>
          <w:tcPr>
            <w:tcW w:type="dxa" w:w="3437"/>
            <w:vAlign w:val="top"/>
          </w:tcPr>
          <w:p>
            <w:r>
              <w:t>Score/risk/confidence для следующих решений.</w:t>
            </w:r>
          </w:p>
        </w:tc>
      </w:tr>
    </w:tbl>
    <w:p>
      <w:pPr>
        <w:pStyle w:val="Heading1"/>
      </w:pPr>
      <w:r>
        <w:t>4. Нормализованная статусная модель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5156"/>
            <w:shd w:fill="D9EAF7"/>
            <w:vAlign w:val="center"/>
          </w:tcPr>
          <w:p>
            <w:r>
              <w:rPr>
                <w:b/>
              </w:rPr>
              <w:t>Internal status</w:t>
            </w:r>
          </w:p>
        </w:tc>
        <w:tc>
          <w:tcPr>
            <w:tcW w:type="dxa" w:w="5156"/>
            <w:shd w:fill="D9EAF7"/>
            <w:vAlign w:val="center"/>
          </w:tcPr>
          <w:p>
            <w:r>
              <w:rPr>
                <w:b/>
              </w:rPr>
              <w:t>Смысл</w:t>
            </w:r>
          </w:p>
        </w:tc>
      </w:tr>
      <w:tr>
        <w:tc>
          <w:tcPr>
            <w:tcW w:type="dxa" w:w="5156"/>
            <w:vAlign w:val="top"/>
          </w:tcPr>
          <w:p>
            <w:r>
              <w:t>Draft</w:t>
            </w:r>
          </w:p>
        </w:tc>
        <w:tc>
          <w:tcPr>
            <w:tcW w:type="dxa" w:w="5156"/>
            <w:vAlign w:val="top"/>
          </w:tcPr>
          <w:p>
            <w:r>
              <w:t>Черновик.</w:t>
            </w:r>
          </w:p>
        </w:tc>
      </w:tr>
      <w:tr>
        <w:tc>
          <w:tcPr>
            <w:tcW w:type="dxa" w:w="5156"/>
            <w:vAlign w:val="top"/>
          </w:tcPr>
          <w:p>
            <w:r>
              <w:t>Quoted</w:t>
            </w:r>
          </w:p>
        </w:tc>
        <w:tc>
          <w:tcPr>
            <w:tcW w:type="dxa" w:w="5156"/>
            <w:vAlign w:val="top"/>
          </w:tcPr>
          <w:p>
            <w:r>
              <w:t>Получены тарифы.</w:t>
            </w:r>
          </w:p>
        </w:tc>
      </w:tr>
      <w:tr>
        <w:tc>
          <w:tcPr>
            <w:tcW w:type="dxa" w:w="5156"/>
            <w:vAlign w:val="top"/>
          </w:tcPr>
          <w:p>
            <w:r>
              <w:t>Created</w:t>
            </w:r>
          </w:p>
        </w:tc>
        <w:tc>
          <w:tcPr>
            <w:tcW w:type="dxa" w:w="5156"/>
            <w:vAlign w:val="top"/>
          </w:tcPr>
          <w:p>
            <w:r>
              <w:t>Создано у перевозчика.</w:t>
            </w:r>
          </w:p>
        </w:tc>
      </w:tr>
      <w:tr>
        <w:tc>
          <w:tcPr>
            <w:tcW w:type="dxa" w:w="5156"/>
            <w:vAlign w:val="top"/>
          </w:tcPr>
          <w:p>
            <w:r>
              <w:t>PickedUp</w:t>
            </w:r>
          </w:p>
        </w:tc>
        <w:tc>
          <w:tcPr>
            <w:tcW w:type="dxa" w:w="5156"/>
            <w:vAlign w:val="top"/>
          </w:tcPr>
          <w:p>
            <w:r>
              <w:t>Груз принят/забран.</w:t>
            </w:r>
          </w:p>
        </w:tc>
      </w:tr>
      <w:tr>
        <w:tc>
          <w:tcPr>
            <w:tcW w:type="dxa" w:w="5156"/>
            <w:vAlign w:val="top"/>
          </w:tcPr>
          <w:p>
            <w:r>
              <w:t>InTransit</w:t>
            </w:r>
          </w:p>
        </w:tc>
        <w:tc>
          <w:tcPr>
            <w:tcW w:type="dxa" w:w="5156"/>
            <w:vAlign w:val="top"/>
          </w:tcPr>
          <w:p>
            <w:r>
              <w:t>В пути.</w:t>
            </w:r>
          </w:p>
        </w:tc>
      </w:tr>
      <w:tr>
        <w:tc>
          <w:tcPr>
            <w:tcW w:type="dxa" w:w="5156"/>
            <w:vAlign w:val="top"/>
          </w:tcPr>
          <w:p>
            <w:r>
              <w:t>OutForDelivery</w:t>
            </w:r>
          </w:p>
        </w:tc>
        <w:tc>
          <w:tcPr>
            <w:tcW w:type="dxa" w:w="5156"/>
            <w:vAlign w:val="top"/>
          </w:tcPr>
          <w:p>
            <w:r>
              <w:t>На последней миле.</w:t>
            </w:r>
          </w:p>
        </w:tc>
      </w:tr>
      <w:tr>
        <w:tc>
          <w:tcPr>
            <w:tcW w:type="dxa" w:w="5156"/>
            <w:vAlign w:val="top"/>
          </w:tcPr>
          <w:p>
            <w:r>
              <w:t>Delivered</w:t>
            </w:r>
          </w:p>
        </w:tc>
        <w:tc>
          <w:tcPr>
            <w:tcW w:type="dxa" w:w="5156"/>
            <w:vAlign w:val="top"/>
          </w:tcPr>
          <w:p>
            <w:r>
              <w:t>Доставлено.</w:t>
            </w:r>
          </w:p>
        </w:tc>
      </w:tr>
      <w:tr>
        <w:tc>
          <w:tcPr>
            <w:tcW w:type="dxa" w:w="5156"/>
            <w:vAlign w:val="top"/>
          </w:tcPr>
          <w:p>
            <w:r>
              <w:t>Delayed</w:t>
            </w:r>
          </w:p>
        </w:tc>
        <w:tc>
          <w:tcPr>
            <w:tcW w:type="dxa" w:w="5156"/>
            <w:vAlign w:val="top"/>
          </w:tcPr>
          <w:p>
            <w:r>
              <w:t>Риск/факт нарушения срока.</w:t>
            </w:r>
          </w:p>
        </w:tc>
      </w:tr>
      <w:tr>
        <w:tc>
          <w:tcPr>
            <w:tcW w:type="dxa" w:w="5156"/>
            <w:vAlign w:val="top"/>
          </w:tcPr>
          <w:p>
            <w:r>
              <w:t>Exception</w:t>
            </w:r>
          </w:p>
        </w:tc>
        <w:tc>
          <w:tcPr>
            <w:tcW w:type="dxa" w:w="5156"/>
            <w:vAlign w:val="top"/>
          </w:tcPr>
          <w:p>
            <w:r>
              <w:t>Проблема, требующая внимания.</w:t>
            </w:r>
          </w:p>
        </w:tc>
      </w:tr>
      <w:tr>
        <w:tc>
          <w:tcPr>
            <w:tcW w:type="dxa" w:w="5156"/>
            <w:vAlign w:val="top"/>
          </w:tcPr>
          <w:p>
            <w:r>
              <w:t>Cancelled</w:t>
            </w:r>
          </w:p>
        </w:tc>
        <w:tc>
          <w:tcPr>
            <w:tcW w:type="dxa" w:w="5156"/>
            <w:vAlign w:val="top"/>
          </w:tcPr>
          <w:p>
            <w:r>
              <w:t>Отменено.</w:t>
            </w:r>
          </w:p>
        </w:tc>
      </w:tr>
    </w:tbl>
    <w:p>
      <w:r>
        <w:t>Оригинальный carrier status всегда хранится рядом с normalized_status. Маппинг версионируется по adapter_version.</w:t>
      </w:r>
    </w:p>
    <w:p>
      <w:pPr>
        <w:pStyle w:val="Heading1"/>
      </w:pPr>
      <w:r>
        <w:t>5. Carrier Adapter Layer — единый контракт</w:t>
      </w:r>
    </w:p>
    <w:p>
      <w:pPr>
        <w:pStyle w:val="ListBullet"/>
      </w:pPr>
      <w:r>
        <w:t>capabilities() — объявляет поддерживаемые функции.</w:t>
      </w:r>
    </w:p>
    <w:p>
      <w:pPr>
        <w:pStyle w:val="ListBullet"/>
      </w:pPr>
      <w:r>
        <w:t>get_rates() — стоимость/срок/допуслуги.</w:t>
      </w:r>
    </w:p>
    <w:p>
      <w:pPr>
        <w:pStyle w:val="ListBullet"/>
      </w:pPr>
      <w:r>
        <w:t>create_shipment() — создание накладной/заказа.</w:t>
      </w:r>
    </w:p>
    <w:p>
      <w:pPr>
        <w:pStyle w:val="ListBullet"/>
      </w:pPr>
      <w:r>
        <w:t>cancel_shipment() — если поддерживается.</w:t>
      </w:r>
    </w:p>
    <w:p>
      <w:pPr>
        <w:pStyle w:val="ListBullet"/>
      </w:pPr>
      <w:r>
        <w:t>get_tracking() — polling fallback.</w:t>
      </w:r>
    </w:p>
    <w:p>
      <w:pPr>
        <w:pStyle w:val="ListBullet"/>
      </w:pPr>
      <w:r>
        <w:t>get_label()/get_documents() — если поддерживается.</w:t>
      </w:r>
    </w:p>
    <w:p>
      <w:pPr>
        <w:pStyle w:val="ListBullet"/>
      </w:pPr>
      <w:r>
        <w:t>health_check() — техническая доступность.</w:t>
      </w:r>
    </w:p>
    <w:p>
      <w:pPr>
        <w:pStyle w:val="ListBullet"/>
      </w:pPr>
      <w:r>
        <w:t>normalize_error() и normalize_status() — обязательны.</w:t>
      </w:r>
    </w:p>
    <w:p>
      <w:pPr>
        <w:pStyle w:val="ListBullet"/>
      </w:pPr>
      <w:r>
        <w:t>Все внешние вызовы имеют timeout, retry policy, correlation_id и метрики.</w:t>
      </w:r>
    </w:p>
    <w:p>
      <w:pPr>
        <w:pStyle w:val="Heading1"/>
      </w:pPr>
      <w:r>
        <w:t>6. Первые 5 интеграций — capability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9"/>
        <w:gridCol w:w="1719"/>
        <w:gridCol w:w="1719"/>
        <w:gridCol w:w="1719"/>
        <w:gridCol w:w="1719"/>
        <w:gridCol w:w="1719"/>
      </w:tblGrid>
      <w:tr>
        <w:trPr>
          <w:tblHeader w:val="true"/>
        </w:trPr>
        <w:tc>
          <w:tcPr>
            <w:tcW w:type="dxa" w:w="1719"/>
            <w:shd w:fill="D9EAF7"/>
            <w:vAlign w:val="center"/>
          </w:tcPr>
          <w:p>
            <w:r>
              <w:rPr>
                <w:b/>
              </w:rPr>
              <w:t>Перевозчик</w:t>
            </w:r>
          </w:p>
        </w:tc>
        <w:tc>
          <w:tcPr>
            <w:tcW w:type="dxa" w:w="1719"/>
            <w:shd w:fill="D9EAF7"/>
            <w:vAlign w:val="center"/>
          </w:tcPr>
          <w:p>
            <w:r>
              <w:rPr>
                <w:b/>
              </w:rPr>
              <w:t>Протокол/доступ</w:t>
            </w:r>
          </w:p>
        </w:tc>
        <w:tc>
          <w:tcPr>
            <w:tcW w:type="dxa" w:w="1719"/>
            <w:shd w:fill="D9EAF7"/>
            <w:vAlign w:val="center"/>
          </w:tcPr>
          <w:p>
            <w:r>
              <w:rPr>
                <w:b/>
              </w:rPr>
              <w:t>Rate</w:t>
            </w:r>
          </w:p>
        </w:tc>
        <w:tc>
          <w:tcPr>
            <w:tcW w:type="dxa" w:w="1719"/>
            <w:shd w:fill="D9EAF7"/>
            <w:vAlign w:val="center"/>
          </w:tcPr>
          <w:p>
            <w:r>
              <w:rPr>
                <w:b/>
              </w:rPr>
              <w:t>Create</w:t>
            </w:r>
          </w:p>
        </w:tc>
        <w:tc>
          <w:tcPr>
            <w:tcW w:type="dxa" w:w="1719"/>
            <w:shd w:fill="D9EAF7"/>
            <w:vAlign w:val="center"/>
          </w:tcPr>
          <w:p>
            <w:r>
              <w:rPr>
                <w:b/>
              </w:rPr>
              <w:t>Track</w:t>
            </w:r>
          </w:p>
        </w:tc>
        <w:tc>
          <w:tcPr>
            <w:tcW w:type="dxa" w:w="1719"/>
            <w:shd w:fill="D9EAF7"/>
            <w:vAlign w:val="center"/>
          </w:tcPr>
          <w:p>
            <w:r>
              <w:rPr>
                <w:b/>
              </w:rPr>
              <w:t>Особенности для MVP</w:t>
            </w:r>
          </w:p>
        </w:tc>
      </w:tr>
      <w:tr>
        <w:tc>
          <w:tcPr>
            <w:tcW w:type="dxa" w:w="1719"/>
            <w:vAlign w:val="top"/>
          </w:tcPr>
          <w:p>
            <w:r>
              <w:t>Major Express</w:t>
            </w:r>
          </w:p>
        </w:tc>
        <w:tc>
          <w:tcPr>
            <w:tcW w:type="dxa" w:w="1719"/>
            <w:vAlign w:val="top"/>
          </w:tcPr>
          <w:p>
            <w:r>
              <w:t>SOAP/WSDL, Basic Auth для клиентских сервисов.</w:t>
            </w:r>
          </w:p>
        </w:tc>
        <w:tc>
          <w:tcPr>
            <w:tcW w:type="dxa" w:w="1719"/>
            <w:vAlign w:val="top"/>
          </w:tcPr>
          <w:p>
            <w:r>
              <w:t>Да: Calculator1 с договором клиента.</w:t>
            </w:r>
          </w:p>
        </w:tc>
        <w:tc>
          <w:tcPr>
            <w:tcW w:type="dxa" w:w="1719"/>
            <w:vAlign w:val="top"/>
          </w:tcPr>
          <w:p>
            <w:r>
              <w:t>Да: CreateWaybill; также LTL методы.</w:t>
            </w:r>
          </w:p>
        </w:tc>
        <w:tc>
          <w:tcPr>
            <w:tcW w:type="dxa" w:w="1719"/>
            <w:vAlign w:val="top"/>
          </w:tcPr>
          <w:p>
            <w:r>
              <w:t>Да, через методы истории/событий.</w:t>
            </w:r>
          </w:p>
        </w:tc>
        <w:tc>
          <w:tcPr>
            <w:tcW w:type="dxa" w:w="1719"/>
            <w:vAlign w:val="top"/>
          </w:tcPr>
          <w:p>
            <w:r>
              <w:t>Отдельно Express и LTL; нужен SOAP adapter и справочники городов.</w:t>
            </w:r>
          </w:p>
        </w:tc>
      </w:tr>
      <w:tr>
        <w:tc>
          <w:tcPr>
            <w:tcW w:type="dxa" w:w="1719"/>
            <w:vAlign w:val="top"/>
          </w:tcPr>
          <w:p>
            <w:r>
              <w:t>CDEK</w:t>
            </w:r>
          </w:p>
        </w:tc>
        <w:tc>
          <w:tcPr>
            <w:tcW w:type="dxa" w:w="1719"/>
            <w:vAlign w:val="top"/>
          </w:tcPr>
          <w:p>
            <w:r>
              <w:t>Официальная developer platform/API; договорные учетные данные.</w:t>
            </w:r>
          </w:p>
        </w:tc>
        <w:tc>
          <w:tcPr>
            <w:tcW w:type="dxa" w:w="1719"/>
            <w:vAlign w:val="top"/>
          </w:tcPr>
          <w:p>
            <w:r>
              <w:t>Да.</w:t>
            </w:r>
          </w:p>
        </w:tc>
        <w:tc>
          <w:tcPr>
            <w:tcW w:type="dxa" w:w="1719"/>
            <w:vAlign w:val="top"/>
          </w:tcPr>
          <w:p>
            <w:r>
              <w:t>Да.</w:t>
            </w:r>
          </w:p>
        </w:tc>
        <w:tc>
          <w:tcPr>
            <w:tcW w:type="dxa" w:w="1719"/>
            <w:vAlign w:val="top"/>
          </w:tcPr>
          <w:p>
            <w:r>
              <w:t>Да.</w:t>
            </w:r>
          </w:p>
        </w:tc>
        <w:tc>
          <w:tcPr>
            <w:tcW w:type="dxa" w:w="1719"/>
            <w:vAlign w:val="top"/>
          </w:tcPr>
          <w:p>
            <w:r>
              <w:t>Расчет, накладные, статусы, документы; точные v2 schemas проверить при выдаче credentials.</w:t>
            </w:r>
          </w:p>
        </w:tc>
      </w:tr>
      <w:tr>
        <w:tc>
          <w:tcPr>
            <w:tcW w:type="dxa" w:w="1719"/>
            <w:vAlign w:val="top"/>
          </w:tcPr>
          <w:p>
            <w:r>
              <w:t>Деловые Линии</w:t>
            </w:r>
          </w:p>
        </w:tc>
        <w:tc>
          <w:tcPr>
            <w:tcW w:type="dxa" w:w="1719"/>
            <w:vAlign w:val="top"/>
          </w:tcPr>
          <w:p>
            <w:r>
              <w:t>HTTP API, app key/авторизация по документации.</w:t>
            </w:r>
          </w:p>
        </w:tc>
        <w:tc>
          <w:tcPr>
            <w:tcW w:type="dxa" w:w="1719"/>
            <w:vAlign w:val="top"/>
          </w:tcPr>
          <w:p>
            <w:r>
              <w:t>Да: /v2/calculator.</w:t>
            </w:r>
          </w:p>
        </w:tc>
        <w:tc>
          <w:tcPr>
            <w:tcW w:type="dxa" w:w="1719"/>
            <w:vAlign w:val="top"/>
          </w:tcPr>
          <w:p>
            <w:r>
              <w:t>Да, после подключения клиентского API.</w:t>
            </w:r>
          </w:p>
        </w:tc>
        <w:tc>
          <w:tcPr>
            <w:tcW w:type="dxa" w:w="1719"/>
            <w:vAlign w:val="top"/>
          </w:tcPr>
          <w:p>
            <w:r>
              <w:t>Да.</w:t>
            </w:r>
          </w:p>
        </w:tc>
        <w:tc>
          <w:tcPr>
            <w:tcW w:type="dxa" w:w="1719"/>
            <w:vAlign w:val="top"/>
          </w:tcPr>
          <w:p>
            <w:r>
              <w:t>Сильный LTL use case; учитывать терминал/адрес и допуслуги.</w:t>
            </w:r>
          </w:p>
        </w:tc>
      </w:tr>
      <w:tr>
        <w:tc>
          <w:tcPr>
            <w:tcW w:type="dxa" w:w="1719"/>
            <w:vAlign w:val="top"/>
          </w:tcPr>
          <w:p>
            <w:r>
              <w:t>ПЭК</w:t>
            </w:r>
          </w:p>
        </w:tc>
        <w:tc>
          <w:tcPr>
            <w:tcW w:type="dxa" w:w="1719"/>
            <w:vAlign w:val="top"/>
          </w:tcPr>
          <w:p>
            <w:r>
              <w:t>Public calculator + API личного кабинета.</w:t>
            </w:r>
          </w:p>
        </w:tc>
        <w:tc>
          <w:tcPr>
            <w:tcW w:type="dxa" w:w="1719"/>
            <w:vAlign w:val="top"/>
          </w:tcPr>
          <w:p>
            <w:r>
              <w:t>Да.</w:t>
            </w:r>
          </w:p>
        </w:tc>
        <w:tc>
          <w:tcPr>
            <w:tcW w:type="dxa" w:w="1719"/>
            <w:vAlign w:val="top"/>
          </w:tcPr>
          <w:p>
            <w:r>
              <w:t>Через API ЛК.</w:t>
            </w:r>
          </w:p>
        </w:tc>
        <w:tc>
          <w:tcPr>
            <w:tcW w:type="dxa" w:w="1719"/>
            <w:vAlign w:val="top"/>
          </w:tcPr>
          <w:p>
            <w:r>
              <w:t>Через API ЛК.</w:t>
            </w:r>
          </w:p>
        </w:tc>
        <w:tc>
          <w:tcPr>
            <w:tcW w:type="dxa" w:w="1719"/>
            <w:vAlign w:val="top"/>
          </w:tcPr>
          <w:p>
            <w:r>
              <w:t>Public API годится для базового расчета; договорные данные требуют authenticated API.</w:t>
            </w:r>
          </w:p>
        </w:tc>
      </w:tr>
      <w:tr>
        <w:tc>
          <w:tcPr>
            <w:tcW w:type="dxa" w:w="1719"/>
            <w:vAlign w:val="top"/>
          </w:tcPr>
          <w:p>
            <w:r>
              <w:t>Яндекс Доставка</w:t>
            </w:r>
          </w:p>
        </w:tc>
        <w:tc>
          <w:tcPr>
            <w:tcW w:type="dxa" w:w="1719"/>
            <w:vAlign w:val="top"/>
          </w:tcPr>
          <w:p>
            <w:r>
              <w:t>HTTP + Bearer token.</w:t>
            </w:r>
          </w:p>
        </w:tc>
        <w:tc>
          <w:tcPr>
            <w:tcW w:type="dxa" w:w="1719"/>
            <w:vAlign w:val="top"/>
          </w:tcPr>
          <w:p>
            <w:r>
              <w:t>Да: предварительная оценка/offers.</w:t>
            </w:r>
          </w:p>
        </w:tc>
        <w:tc>
          <w:tcPr>
            <w:tcW w:type="dxa" w:w="1719"/>
            <w:vAlign w:val="top"/>
          </w:tcPr>
          <w:p>
            <w:r>
              <w:t>Да: claim/order flow.</w:t>
            </w:r>
          </w:p>
        </w:tc>
        <w:tc>
          <w:tcPr>
            <w:tcW w:type="dxa" w:w="1719"/>
            <w:vAlign w:val="top"/>
          </w:tcPr>
          <w:p>
            <w:r>
              <w:t>Да.</w:t>
            </w:r>
          </w:p>
        </w:tc>
        <w:tc>
          <w:tcPr>
            <w:tcW w:type="dxa" w:w="1719"/>
            <w:vAlign w:val="top"/>
          </w:tcPr>
          <w:p>
            <w:r>
              <w:t>Есть express/same-day и доставка по России; разные host/flow могут требовать отдельных sub-adapters.</w:t>
            </w:r>
          </w:p>
        </w:tc>
      </w:tr>
    </w:tbl>
    <w:p>
      <w:pPr>
        <w:pStyle w:val="Heading1"/>
      </w:pPr>
      <w:r>
        <w:t>7. Стратегия интеграции</w:t>
      </w:r>
    </w:p>
    <w:p>
      <w:pPr>
        <w:pStyle w:val="ListBullet"/>
      </w:pPr>
      <w:r>
        <w:t>Не пытаться унифицировать все carrier-specific поля в Core. Core содержит минимальную общую модель + extension metadata.</w:t>
      </w:r>
    </w:p>
    <w:p>
      <w:pPr>
        <w:pStyle w:val="ListBullet"/>
      </w:pPr>
      <w:r>
        <w:t>Каждый adapter имеет capability flags: rates, create, cancel, tracking, labels, pickup, insurance, COD, terminals, webhook.</w:t>
      </w:r>
    </w:p>
    <w:p>
      <w:pPr>
        <w:pStyle w:val="ListBullet"/>
      </w:pPr>
      <w:r>
        <w:t>Carrier-specific reference data кешируется и версионируется.</w:t>
      </w:r>
    </w:p>
    <w:p>
      <w:pPr>
        <w:pStyle w:val="ListBullet"/>
      </w:pPr>
      <w:r>
        <w:t>Справочники городов/терминалов связываются с internal Location ID через mapping table.</w:t>
      </w:r>
    </w:p>
    <w:p>
      <w:pPr>
        <w:pStyle w:val="ListBullet"/>
      </w:pPr>
      <w:r>
        <w:t>Для клиента может быть несколько CarrierAccount одного перевозчика (разные договоры/филиалы).</w:t>
      </w:r>
    </w:p>
    <w:p>
      <w:pPr>
        <w:pStyle w:val="ListBullet"/>
      </w:pPr>
      <w:r>
        <w:t>Тариф клиента считается только через его CarrierAccount; platform tariff — через отдельный Logistics OS account/source.</w:t>
      </w:r>
    </w:p>
    <w:p>
      <w:pPr>
        <w:pStyle w:val="Heading1"/>
      </w:pPr>
      <w:r>
        <w:t>8. Rate Engine</w:t>
      </w:r>
    </w:p>
    <w:p>
      <w:pPr>
        <w:pStyle w:val="ListBullet"/>
      </w:pPr>
      <w:r>
        <w:t>Fan-out запросов параллельно; общий SLA ответа не должен зависеть от самого медленного перевозчика.</w:t>
      </w:r>
    </w:p>
    <w:p>
      <w:pPr>
        <w:pStyle w:val="ListBullet"/>
      </w:pPr>
      <w:r>
        <w:t>Partial success является нормальным состоянием.</w:t>
      </w:r>
    </w:p>
    <w:p>
      <w:pPr>
        <w:pStyle w:val="ListBullet"/>
      </w:pPr>
      <w:r>
        <w:t>Каждый RateOffer содержит source, service, ETA, cost components, Total Cost, valid_until, raw reference.</w:t>
      </w:r>
    </w:p>
    <w:p>
      <w:pPr>
        <w:pStyle w:val="ListBullet"/>
      </w:pPr>
      <w:r>
        <w:t>Money хранится в minor units + currency.</w:t>
      </w:r>
    </w:p>
    <w:p>
      <w:pPr>
        <w:pStyle w:val="ListBullet"/>
      </w:pPr>
      <w:r>
        <w:t>Quote имеет TTL; просроченный quote нельзя использовать для create без refresh/revalidation.</w:t>
      </w:r>
    </w:p>
    <w:p>
      <w:pPr>
        <w:pStyle w:val="ListBullet"/>
      </w:pPr>
      <w:r>
        <w:t>Insurance и platform-level surcharges рассчитываются после carrier response, но до recommendation.</w:t>
      </w:r>
    </w:p>
    <w:p>
      <w:pPr>
        <w:pStyle w:val="Heading1"/>
      </w:pPr>
      <w:r>
        <w:t>9. Routing Engine</w:t>
      </w:r>
    </w:p>
    <w:p>
      <w:pPr>
        <w:pStyle w:val="ListBullet"/>
      </w:pPr>
      <w:r>
        <w:t>Hard constraints: deadline, carrier allow/deny, cargo restrictions, service availability, tenant policy.</w:t>
      </w:r>
    </w:p>
    <w:p>
      <w:pPr>
        <w:pStyle w:val="ListBullet"/>
      </w:pPr>
      <w:r>
        <w:t>Eligible offers ранжируются по стратегии.</w:t>
      </w:r>
    </w:p>
    <w:p>
      <w:pPr>
        <w:pStyle w:val="ListBullet"/>
      </w:pPr>
      <w:r>
        <w:t>Optimal использует внутреннюю конфигурацию price/time/SLA/risk; веса скрыты от оператора.</w:t>
      </w:r>
    </w:p>
    <w:p>
      <w:pPr>
        <w:pStyle w:val="ListBullet"/>
      </w:pPr>
      <w:r>
        <w:t>Recommendation хранит explanation facts, а не маркетинговый текст, чтобы UI мог локализовать объяснение.</w:t>
      </w:r>
    </w:p>
    <w:p>
      <w:pPr>
        <w:pStyle w:val="ListBullet"/>
      </w:pPr>
      <w:r>
        <w:t>Если confidence низкий, UI получает это явно; система не должна изображать точность без данных.</w:t>
      </w:r>
    </w:p>
    <w:p>
      <w:pPr>
        <w:pStyle w:val="ListBullet"/>
      </w:pPr>
      <w:r>
        <w:t>Auto Select разрешен только при выполнении всех hard constraints и tenant auto-select policy.</w:t>
      </w:r>
    </w:p>
    <w:p>
      <w:pPr>
        <w:pStyle w:val="Heading1"/>
      </w:pPr>
      <w:r>
        <w:t>10. Tracking и exception management</w:t>
      </w:r>
    </w:p>
    <w:p>
      <w:pPr>
        <w:pStyle w:val="ListBullet"/>
      </w:pPr>
      <w:r>
        <w:t>Webhook предпочтителен; polling — fallback.</w:t>
      </w:r>
    </w:p>
    <w:p>
      <w:pPr>
        <w:pStyle w:val="ListBullet"/>
      </w:pPr>
      <w:r>
        <w:t>События append-only, dedup по carrier event ID/hash.</w:t>
      </w:r>
    </w:p>
    <w:p>
      <w:pPr>
        <w:pStyle w:val="ListBullet"/>
      </w:pPr>
      <w:r>
        <w:t>Отсутствие обновлений сверх порога может создавать Exception/Delayed signal.</w:t>
      </w:r>
    </w:p>
    <w:p>
      <w:pPr>
        <w:pStyle w:val="ListBullet"/>
      </w:pPr>
      <w:r>
        <w:t>Delivered закрывает SLA outcome, но actual cost может появиться позже из invoice.</w:t>
      </w:r>
    </w:p>
    <w:p>
      <w:pPr>
        <w:pStyle w:val="ListBullet"/>
      </w:pPr>
      <w:r>
        <w:t>Повторная доставка/возврат должны поддерживаться через event metadata без разрушения основной timeline.</w:t>
      </w:r>
    </w:p>
    <w:p>
      <w:pPr>
        <w:pStyle w:val="Heading1"/>
      </w:pPr>
      <w:r>
        <w:t>11. Carrier Intelligence v1</w:t>
      </w:r>
    </w:p>
    <w:p>
      <w:pPr>
        <w:pStyle w:val="ListBullet"/>
      </w:pPr>
      <w:r>
        <w:t>Считать по lane/service и rolling period: shipments, on-time %, median/percentile transit, exception rate, claims/damage rate, cost variance.</w:t>
      </w:r>
    </w:p>
    <w:p>
      <w:pPr>
        <w:pStyle w:val="ListBullet"/>
      </w:pPr>
      <w:r>
        <w:t>Carrier Score 0–100 — производный показатель; хранить компоненты и version formula.</w:t>
      </w:r>
    </w:p>
    <w:p>
      <w:pPr>
        <w:pStyle w:val="ListBullet"/>
      </w:pPr>
      <w:r>
        <w:t>Confidence зависит от размера/свежести выборки.</w:t>
      </w:r>
    </w:p>
    <w:p>
      <w:pPr>
        <w:pStyle w:val="ListBullet"/>
      </w:pPr>
      <w:r>
        <w:t>При недостатке собственных данных recommendation может использовать заявленный ETA и нейтральный reliability prior; UI показывает low confidence.</w:t>
      </w:r>
    </w:p>
    <w:p>
      <w:pPr>
        <w:pStyle w:val="Heading1"/>
      </w:pPr>
      <w:r>
        <w:t>12. Интеграции клиента</w:t>
      </w:r>
    </w:p>
    <w:p>
      <w:pPr>
        <w:pStyle w:val="ListBullet"/>
      </w:pPr>
      <w:r>
        <w:t>REST API — основной внешний интерфейс.</w:t>
      </w:r>
    </w:p>
    <w:p>
      <w:pPr>
        <w:pStyle w:val="ListBullet"/>
      </w:pPr>
      <w:r>
        <w:t>Webhooks Logistics OS → client system для shipment/tracking/exception updates.</w:t>
      </w:r>
    </w:p>
    <w:p>
      <w:pPr>
        <w:pStyle w:val="ListBullet"/>
      </w:pPr>
      <w:r>
        <w:t>CSV/XLSX import допустим как onboarding fallback, но не является основной архитектурой.</w:t>
      </w:r>
    </w:p>
    <w:p>
      <w:pPr>
        <w:pStyle w:val="ListBullet"/>
      </w:pPr>
      <w:r>
        <w:t>1С интеграция — отдельный коннектор поверх public Logistics OS API, а не отдельная бизнес-логика.</w:t>
      </w:r>
    </w:p>
    <w:p>
      <w:pPr>
        <w:pStyle w:val="Heading1"/>
      </w:pPr>
      <w:r>
        <w:t>13. Эксплуатационные требования</w:t>
      </w:r>
    </w:p>
    <w:p>
      <w:pPr>
        <w:pStyle w:val="ListBullet"/>
      </w:pPr>
      <w:r>
        <w:t>Dev / Stage / Prod раздельно.</w:t>
      </w:r>
    </w:p>
    <w:p>
      <w:pPr>
        <w:pStyle w:val="ListBullet"/>
      </w:pPr>
      <w:r>
        <w:t>Feature flags для adapters и Auto Select.</w:t>
      </w:r>
    </w:p>
    <w:p>
      <w:pPr>
        <w:pStyle w:val="ListBullet"/>
      </w:pPr>
      <w:r>
        <w:t>Secrets manager/encrypted storage.</w:t>
      </w:r>
    </w:p>
    <w:p>
      <w:pPr>
        <w:pStyle w:val="ListBullet"/>
      </w:pPr>
      <w:r>
        <w:t>Structured logs, metrics, traces, carrier health.</w:t>
      </w:r>
    </w:p>
    <w:p>
      <w:pPr>
        <w:pStyle w:val="ListBullet"/>
      </w:pPr>
      <w:r>
        <w:t>Daily backups + проверяемый restore procedure.</w:t>
      </w:r>
    </w:p>
    <w:p>
      <w:pPr>
        <w:pStyle w:val="ListBullet"/>
      </w:pPr>
      <w:r>
        <w:t>Audit log для изменения правил, credentials, insurance override, manual decision, cancellation.</w:t>
      </w:r>
    </w:p>
    <w:p>
      <w:pPr>
        <w:pStyle w:val="Heading1"/>
      </w:pPr>
      <w:r>
        <w:t>14. План запуска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D9EAF7"/>
            <w:vAlign w:val="center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3437"/>
            <w:shd w:fill="D9EAF7"/>
            <w:vAlign w:val="center"/>
          </w:tcPr>
          <w:p>
            <w:r>
              <w:rPr>
                <w:b/>
              </w:rPr>
              <w:t>Содержание</w:t>
            </w:r>
          </w:p>
        </w:tc>
        <w:tc>
          <w:tcPr>
            <w:tcW w:type="dxa" w:w="3437"/>
            <w:shd w:fill="D9EAF7"/>
            <w:vAlign w:val="center"/>
          </w:tcPr>
          <w:p>
            <w:r>
              <w:rPr>
                <w:b/>
              </w:rPr>
              <w:t>Exit criteria</w:t>
            </w:r>
          </w:p>
        </w:tc>
      </w:tr>
      <w:tr>
        <w:tc>
          <w:tcPr>
            <w:tcW w:type="dxa" w:w="3437"/>
            <w:vAlign w:val="top"/>
          </w:tcPr>
          <w:p>
            <w:r>
              <w:t>0. Foundation</w:t>
            </w:r>
          </w:p>
        </w:tc>
        <w:tc>
          <w:tcPr>
            <w:tcW w:type="dxa" w:w="3437"/>
            <w:vAlign w:val="top"/>
          </w:tcPr>
          <w:p>
            <w:r>
              <w:t>Core schema, auth, OpenAPI, mocks.</w:t>
            </w:r>
          </w:p>
        </w:tc>
        <w:tc>
          <w:tcPr>
            <w:tcW w:type="dxa" w:w="3437"/>
            <w:vAlign w:val="top"/>
          </w:tcPr>
          <w:p>
            <w:r>
              <w:t>FE/BE могут работать параллельно.</w:t>
            </w:r>
          </w:p>
        </w:tc>
      </w:tr>
      <w:tr>
        <w:tc>
          <w:tcPr>
            <w:tcW w:type="dxa" w:w="3437"/>
            <w:vAlign w:val="top"/>
          </w:tcPr>
          <w:p>
            <w:r>
              <w:t>1. 2 carriers</w:t>
            </w:r>
          </w:p>
        </w:tc>
        <w:tc>
          <w:tcPr>
            <w:tcW w:type="dxa" w:w="3437"/>
            <w:vAlign w:val="top"/>
          </w:tcPr>
          <w:p>
            <w:r>
              <w:t>Major Express + один REST carrier.</w:t>
            </w:r>
          </w:p>
        </w:tc>
        <w:tc>
          <w:tcPr>
            <w:tcW w:type="dxa" w:w="3437"/>
            <w:vAlign w:val="top"/>
          </w:tcPr>
          <w:p>
            <w:r>
              <w:t>Quote/Create/Track E2E.</w:t>
            </w:r>
          </w:p>
        </w:tc>
      </w:tr>
      <w:tr>
        <w:tc>
          <w:tcPr>
            <w:tcW w:type="dxa" w:w="3437"/>
            <w:vAlign w:val="top"/>
          </w:tcPr>
          <w:p>
            <w:r>
              <w:t>2. 5 carriers</w:t>
            </w:r>
          </w:p>
        </w:tc>
        <w:tc>
          <w:tcPr>
            <w:tcW w:type="dxa" w:w="3437"/>
            <w:vAlign w:val="top"/>
          </w:tcPr>
          <w:p>
            <w:r>
              <w:t>CDEK, ДЛ, ПЭК, Яндекс.</w:t>
            </w:r>
          </w:p>
        </w:tc>
        <w:tc>
          <w:tcPr>
            <w:tcW w:type="dxa" w:w="3437"/>
            <w:vAlign w:val="top"/>
          </w:tcPr>
          <w:p>
            <w:r>
              <w:t>Partial success + normalization.</w:t>
            </w:r>
          </w:p>
        </w:tc>
      </w:tr>
      <w:tr>
        <w:tc>
          <w:tcPr>
            <w:tcW w:type="dxa" w:w="3437"/>
            <w:vAlign w:val="top"/>
          </w:tcPr>
          <w:p>
            <w:r>
              <w:t>3. Pilot</w:t>
            </w:r>
          </w:p>
        </w:tc>
        <w:tc>
          <w:tcPr>
            <w:tcW w:type="dxa" w:w="3437"/>
            <w:vAlign w:val="top"/>
          </w:tcPr>
          <w:p>
            <w:r>
              <w:t>3–5 клиентов, manual recommendation.</w:t>
            </w:r>
          </w:p>
        </w:tc>
        <w:tc>
          <w:tcPr>
            <w:tcW w:type="dxa" w:w="3437"/>
            <w:vAlign w:val="top"/>
          </w:tcPr>
          <w:p>
            <w:r>
              <w:t>10k shipments, quality metrics.</w:t>
            </w:r>
          </w:p>
        </w:tc>
      </w:tr>
      <w:tr>
        <w:tc>
          <w:tcPr>
            <w:tcW w:type="dxa" w:w="3437"/>
            <w:vAlign w:val="top"/>
          </w:tcPr>
          <w:p>
            <w:r>
              <w:t>4. Auto Select</w:t>
            </w:r>
          </w:p>
        </w:tc>
        <w:tc>
          <w:tcPr>
            <w:tcW w:type="dxa" w:w="3437"/>
            <w:vAlign w:val="top"/>
          </w:tcPr>
          <w:p>
            <w:r>
              <w:t>Rules + safe automation.</w:t>
            </w:r>
          </w:p>
        </w:tc>
        <w:tc>
          <w:tcPr>
            <w:tcW w:type="dxa" w:w="3437"/>
            <w:vAlign w:val="top"/>
          </w:tcPr>
          <w:p>
            <w:r>
              <w:t>Controlled cohort, rollback.</w:t>
            </w:r>
          </w:p>
        </w:tc>
      </w:tr>
      <w:tr>
        <w:tc>
          <w:tcPr>
            <w:tcW w:type="dxa" w:w="3437"/>
            <w:vAlign w:val="top"/>
          </w:tcPr>
          <w:p>
            <w:r>
              <w:t>5. Intelligence</w:t>
            </w:r>
          </w:p>
        </w:tc>
        <w:tc>
          <w:tcPr>
            <w:tcW w:type="dxa" w:w="3437"/>
            <w:vAlign w:val="top"/>
          </w:tcPr>
          <w:p>
            <w:r>
              <w:t>Carrier Score calibration.</w:t>
            </w:r>
          </w:p>
        </w:tc>
        <w:tc>
          <w:tcPr>
            <w:tcW w:type="dxa" w:w="3437"/>
            <w:vAlign w:val="top"/>
          </w:tcPr>
          <w:p>
            <w:r>
              <w:t>Достаточная выборка по ключевым lanes.</w:t>
            </w:r>
          </w:p>
        </w:tc>
      </w:tr>
    </w:tbl>
    <w:p>
      <w:pPr>
        <w:pStyle w:val="Heading1"/>
      </w:pPr>
      <w:r>
        <w:t>Источники по API перевозчиков</w:t>
      </w:r>
    </w:p>
    <w:p>
      <w:r>
        <w:t>Источники используются для фиксации возможностей интеграции. Конкретные поля и методы должны быть повторно проверены разработчиком при подключении боевых учетных данных, так как API перевозчиков могут изменяться.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37"/>
            <w:shd w:fill="D9EAF7"/>
            <w:vAlign w:val="center"/>
          </w:tcPr>
          <w:p>
            <w:r>
              <w:rPr>
                <w:b/>
              </w:rPr>
              <w:t>Источник</w:t>
            </w:r>
          </w:p>
        </w:tc>
        <w:tc>
          <w:tcPr>
            <w:tcW w:type="dxa" w:w="3437"/>
            <w:shd w:fill="D9EAF7"/>
            <w:vAlign w:val="center"/>
          </w:tcPr>
          <w:p>
            <w:r>
              <w:rPr>
                <w:b/>
              </w:rPr>
              <w:t>URL</w:t>
            </w:r>
          </w:p>
        </w:tc>
        <w:tc>
          <w:tcPr>
            <w:tcW w:type="dxa" w:w="3437"/>
            <w:shd w:fill="D9EAF7"/>
            <w:vAlign w:val="center"/>
          </w:tcPr>
          <w:p>
            <w:r>
              <w:rPr>
                <w:b/>
              </w:rPr>
              <w:t>Что подтверждает</w:t>
            </w:r>
          </w:p>
        </w:tc>
      </w:tr>
      <w:tr>
        <w:tc>
          <w:tcPr>
            <w:tcW w:type="dxa" w:w="3437"/>
            <w:vAlign w:val="top"/>
          </w:tcPr>
          <w:p>
            <w:r>
              <w:t>Major Express developer wiki</w:t>
            </w:r>
          </w:p>
        </w:tc>
        <w:tc>
          <w:tcPr>
            <w:tcW w:type="dxa" w:w="3437"/>
            <w:vAlign w:val="top"/>
          </w:tcPr>
          <w:p>
            <w:r>
              <w:t>https://developers.major-express.ru/web-servisy-2/</w:t>
            </w:r>
          </w:p>
        </w:tc>
        <w:tc>
          <w:tcPr>
            <w:tcW w:type="dxa" w:w="3437"/>
            <w:vAlign w:val="top"/>
          </w:tcPr>
          <w:p>
            <w:r>
              <w:t>Клиентские веб-сервисы для экспресс-доставки и сборных грузов; SOAP/WSDL, методы расчета, создания накладной и справочники.</w:t>
            </w:r>
          </w:p>
        </w:tc>
      </w:tr>
      <w:tr>
        <w:tc>
          <w:tcPr>
            <w:tcW w:type="dxa" w:w="3437"/>
            <w:vAlign w:val="top"/>
          </w:tcPr>
          <w:p>
            <w:r>
              <w:t>Major Express Calculator1</w:t>
            </w:r>
          </w:p>
        </w:tc>
        <w:tc>
          <w:tcPr>
            <w:tcW w:type="dxa" w:w="3437"/>
            <w:vAlign w:val="top"/>
          </w:tcPr>
          <w:p>
            <w:r>
              <w:t>https://developers.major-express.ru/web-servisy-2/web-servis-klientskij/ekspress-dostavka/metody/prochie/kalkulyator-stoimostej-i-srokov-s-uchetom-skidok-klienta-s-ukazaniem-parametrov-mest/</w:t>
            </w:r>
          </w:p>
        </w:tc>
        <w:tc>
          <w:tcPr>
            <w:tcW w:type="dxa" w:w="3437"/>
            <w:vAlign w:val="top"/>
          </w:tcPr>
          <w:p>
            <w:r>
              <w:t>Расчет стоимости и срока с учетом договора клиента и параметров мест.</w:t>
            </w:r>
          </w:p>
        </w:tc>
      </w:tr>
      <w:tr>
        <w:tc>
          <w:tcPr>
            <w:tcW w:type="dxa" w:w="3437"/>
            <w:vAlign w:val="top"/>
          </w:tcPr>
          <w:p>
            <w:r>
              <w:t>CDEK Developers</w:t>
            </w:r>
          </w:p>
        </w:tc>
        <w:tc>
          <w:tcPr>
            <w:tcW w:type="dxa" w:w="3437"/>
            <w:vAlign w:val="top"/>
          </w:tcPr>
          <w:p>
            <w:r>
              <w:t>https://developer.cdek.ru/</w:t>
            </w:r>
          </w:p>
        </w:tc>
        <w:tc>
          <w:tcPr>
            <w:tcW w:type="dxa" w:w="3437"/>
            <w:vAlign w:val="top"/>
          </w:tcPr>
          <w:p>
            <w:r>
              <w:t>Официальная платформа интеграции СДЭК; расчет, накладные, статусы, документы и интеграционные сценарии.</w:t>
            </w:r>
          </w:p>
        </w:tc>
      </w:tr>
      <w:tr>
        <w:tc>
          <w:tcPr>
            <w:tcW w:type="dxa" w:w="3437"/>
            <w:vAlign w:val="top"/>
          </w:tcPr>
          <w:p>
            <w:r>
              <w:t>Деловые Линии API</w:t>
            </w:r>
          </w:p>
        </w:tc>
        <w:tc>
          <w:tcPr>
            <w:tcW w:type="dxa" w:w="3437"/>
            <w:vAlign w:val="top"/>
          </w:tcPr>
          <w:p>
            <w:r>
              <w:t>https://dev.dellin.ru/api/</w:t>
            </w:r>
          </w:p>
        </w:tc>
        <w:tc>
          <w:tcPr>
            <w:tcW w:type="dxa" w:w="3437"/>
            <w:vAlign w:val="top"/>
          </w:tcPr>
          <w:p>
            <w:r>
              <w:t>Официальная документация API.</w:t>
            </w:r>
          </w:p>
        </w:tc>
      </w:tr>
      <w:tr>
        <w:tc>
          <w:tcPr>
            <w:tcW w:type="dxa" w:w="3437"/>
            <w:vAlign w:val="top"/>
          </w:tcPr>
          <w:p>
            <w:r>
              <w:t>Деловые Линии Calculator</w:t>
            </w:r>
          </w:p>
        </w:tc>
        <w:tc>
          <w:tcPr>
            <w:tcW w:type="dxa" w:w="3437"/>
            <w:vAlign w:val="top"/>
          </w:tcPr>
          <w:p>
            <w:r>
              <w:t>https://dev.dellin.ru/api/examples/calculation/</w:t>
            </w:r>
          </w:p>
        </w:tc>
        <w:tc>
          <w:tcPr>
            <w:tcW w:type="dxa" w:w="3437"/>
            <w:vAlign w:val="top"/>
          </w:tcPr>
          <w:p>
            <w:r>
              <w:t>Расчет стоимости/сроков через API.</w:t>
            </w:r>
          </w:p>
        </w:tc>
      </w:tr>
      <w:tr>
        <w:tc>
          <w:tcPr>
            <w:tcW w:type="dxa" w:w="3437"/>
            <w:vAlign w:val="top"/>
          </w:tcPr>
          <w:p>
            <w:r>
              <w:t>ПЭК Public API</w:t>
            </w:r>
          </w:p>
        </w:tc>
        <w:tc>
          <w:tcPr>
            <w:tcW w:type="dxa" w:w="3437"/>
            <w:vAlign w:val="top"/>
          </w:tcPr>
          <w:p>
            <w:r>
              <w:t>https://pecom.ru/business/developers/api_public/</w:t>
            </w:r>
          </w:p>
        </w:tc>
        <w:tc>
          <w:tcPr>
            <w:tcW w:type="dxa" w:w="3437"/>
            <w:vAlign w:val="top"/>
          </w:tcPr>
          <w:p>
            <w:r>
              <w:t>Публичный расчет стоимости и дополнительных услуг; расширенные функции через API личного кабинета.</w:t>
            </w:r>
          </w:p>
        </w:tc>
      </w:tr>
      <w:tr>
        <w:tc>
          <w:tcPr>
            <w:tcW w:type="dxa" w:w="3437"/>
            <w:vAlign w:val="top"/>
          </w:tcPr>
          <w:p>
            <w:r>
              <w:t>ПЭК Calculator API</w:t>
            </w:r>
          </w:p>
        </w:tc>
        <w:tc>
          <w:tcPr>
            <w:tcW w:type="dxa" w:w="3437"/>
            <w:vAlign w:val="top"/>
          </w:tcPr>
          <w:p>
            <w:r>
              <w:t>https://test-kabinet.pecom.ru/preweb/api/v1/help/calculator</w:t>
            </w:r>
          </w:p>
        </w:tc>
        <w:tc>
          <w:tcPr>
            <w:tcW w:type="dxa" w:w="3437"/>
            <w:vAlign w:val="top"/>
          </w:tcPr>
          <w:p>
            <w:r>
              <w:t>Расчет стоимости и сроков для зарегистрированных пользователей.</w:t>
            </w:r>
          </w:p>
        </w:tc>
      </w:tr>
      <w:tr>
        <w:tc>
          <w:tcPr>
            <w:tcW w:type="dxa" w:w="3437"/>
            <w:vAlign w:val="top"/>
          </w:tcPr>
          <w:p>
            <w:r>
              <w:t>Яндекс Доставка API</w:t>
            </w:r>
          </w:p>
        </w:tc>
        <w:tc>
          <w:tcPr>
            <w:tcW w:type="dxa" w:w="3437"/>
            <w:vAlign w:val="top"/>
          </w:tcPr>
          <w:p>
            <w:r>
              <w:t>https://yandex.com/support/delivery-profile/ru/api/</w:t>
            </w:r>
          </w:p>
        </w:tc>
        <w:tc>
          <w:tcPr>
            <w:tcW w:type="dxa" w:w="3437"/>
            <w:vAlign w:val="top"/>
          </w:tcPr>
          <w:p>
            <w:r>
              <w:t>HTTP API управления доставкой.</w:t>
            </w:r>
          </w:p>
        </w:tc>
      </w:tr>
      <w:tr>
        <w:tc>
          <w:tcPr>
            <w:tcW w:type="dxa" w:w="3437"/>
            <w:vAlign w:val="top"/>
          </w:tcPr>
          <w:p>
            <w:r>
              <w:t>Яндекс Доставка quickstart</w:t>
            </w:r>
          </w:p>
        </w:tc>
        <w:tc>
          <w:tcPr>
            <w:tcW w:type="dxa" w:w="3437"/>
            <w:vAlign w:val="top"/>
          </w:tcPr>
          <w:p>
            <w:r>
              <w:t>https://yandex.com/support/delivery-profile/ru/api/express/quickstart</w:t>
            </w:r>
          </w:p>
        </w:tc>
        <w:tc>
          <w:tcPr>
            <w:tcW w:type="dxa" w:w="3437"/>
            <w:vAlign w:val="top"/>
          </w:tcPr>
          <w:p>
            <w:r>
              <w:t>Расчет, создание, подтверждение и отслеживание заказа.</w:t>
            </w:r>
          </w:p>
        </w:tc>
      </w:tr>
      <w:tr>
        <w:tc>
          <w:tcPr>
            <w:tcW w:type="dxa" w:w="3437"/>
            <w:vAlign w:val="top"/>
          </w:tcPr>
          <w:p>
            <w:r>
              <w:t>Яндекс Доставка по России</w:t>
            </w:r>
          </w:p>
        </w:tc>
        <w:tc>
          <w:tcPr>
            <w:tcW w:type="dxa" w:w="3437"/>
            <w:vAlign w:val="top"/>
          </w:tcPr>
          <w:p>
            <w:r>
              <w:t>https://yandex.com/support/delivery-profile/ru/api/other-day/</w:t>
            </w:r>
          </w:p>
        </w:tc>
        <w:tc>
          <w:tcPr>
            <w:tcW w:type="dxa" w:w="3437"/>
            <w:vAlign w:val="top"/>
          </w:tcPr>
          <w:p>
            <w:r>
              <w:t>API доставки по России, тестовый и боевой контуры.</w:t>
            </w:r>
          </w:p>
        </w:tc>
      </w:tr>
    </w:tbl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