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OS — Финальное ТЗ для Front-end разработчика</w:t>
      </w:r>
    </w:p>
    <w:p>
      <w:pPr>
        <w:jc w:val="center"/>
      </w:pPr>
      <w:r>
        <w:t>Implementation Specification • версия 3.0</w:t>
      </w:r>
    </w:p>
    <w:p>
      <w:pPr>
        <w:jc w:val="center"/>
      </w:pPr>
      <w:r>
        <w:rPr>
          <w:b/>
        </w:rPr>
        <w:t>ФИНАЛЬНАЯ РЕДАКЦИЯ ДЛЯ СТАРТА РАЗРАБОТКИ</w:t>
      </w:r>
    </w:p>
    <w:p>
      <w:pPr>
        <w:pStyle w:val="Heading1"/>
      </w:pPr>
      <w:r>
        <w:t>1. Технологический baseline</w:t>
      </w:r>
    </w:p>
    <w:p>
      <w:pPr>
        <w:pStyle w:val="ListBullet"/>
      </w:pPr>
      <w:r>
        <w:t>Next.js + TypeScript strict.</w:t>
      </w:r>
    </w:p>
    <w:p>
      <w:pPr>
        <w:pStyle w:val="ListBullet"/>
      </w:pPr>
      <w:r>
        <w:t>React Query/TanStack Query для server state.</w:t>
      </w:r>
    </w:p>
    <w:p>
      <w:pPr>
        <w:pStyle w:val="ListBullet"/>
      </w:pPr>
      <w:r>
        <w:t>React Hook Form + schema validation.</w:t>
      </w:r>
    </w:p>
    <w:p>
      <w:pPr>
        <w:pStyle w:val="ListBullet"/>
      </w:pPr>
      <w:r>
        <w:t>OpenAPI-generated/typed API client.</w:t>
      </w:r>
    </w:p>
    <w:p>
      <w:pPr>
        <w:pStyle w:val="ListBullet"/>
      </w:pPr>
      <w:r>
        <w:t>Playwright E2E; Vitest/Jest + Testing Library.</w:t>
      </w:r>
    </w:p>
    <w:p>
      <w:pPr>
        <w:pStyle w:val="ListBullet"/>
      </w:pPr>
      <w:r>
        <w:t>Dockerized build; secrets не попадают в browser bundle.</w:t>
      </w:r>
    </w:p>
    <w:p>
      <w:pPr>
        <w:pStyle w:val="Heading1"/>
      </w:pPr>
      <w:r>
        <w:t>2. Информационная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3437"/>
            <w:vAlign w:val="top"/>
          </w:tcPr>
          <w:p>
            <w:r>
              <w:t>/login</w:t>
            </w:r>
          </w:p>
        </w:tc>
        <w:tc>
          <w:tcPr>
            <w:tcW w:type="dxa" w:w="3437"/>
            <w:vAlign w:val="top"/>
          </w:tcPr>
          <w:p>
            <w:r>
              <w:t>Login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/dashboard</w:t>
            </w:r>
          </w:p>
        </w:tc>
        <w:tc>
          <w:tcPr>
            <w:tcW w:type="dxa" w:w="3437"/>
            <w:vAlign w:val="top"/>
          </w:tcPr>
          <w:p>
            <w:r>
              <w:t>Dashboard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  <w:tr>
        <w:tc>
          <w:tcPr>
            <w:tcW w:type="dxa" w:w="3437"/>
            <w:vAlign w:val="top"/>
          </w:tcPr>
          <w:p>
            <w:r>
              <w:t>/shipments</w:t>
            </w:r>
          </w:p>
        </w:tc>
        <w:tc>
          <w:tcPr>
            <w:tcW w:type="dxa" w:w="3437"/>
            <w:vAlign w:val="top"/>
          </w:tcPr>
          <w:p>
            <w:r>
              <w:t>Shipments registry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/shipments/new</w:t>
            </w:r>
          </w:p>
        </w:tc>
        <w:tc>
          <w:tcPr>
            <w:tcW w:type="dxa" w:w="3437"/>
            <w:vAlign w:val="top"/>
          </w:tcPr>
          <w:p>
            <w:r>
              <w:t>Create shipment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/rate-shopping</w:t>
            </w:r>
          </w:p>
        </w:tc>
        <w:tc>
          <w:tcPr>
            <w:tcW w:type="dxa" w:w="3437"/>
            <w:vAlign w:val="top"/>
          </w:tcPr>
          <w:p>
            <w:r>
              <w:t>Rate Shopping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/shipments/{id}</w:t>
            </w:r>
          </w:p>
        </w:tc>
        <w:tc>
          <w:tcPr>
            <w:tcW w:type="dxa" w:w="3437"/>
            <w:vAlign w:val="top"/>
          </w:tcPr>
          <w:p>
            <w:r>
              <w:t>Shipment Details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/tracking</w:t>
            </w:r>
          </w:p>
        </w:tc>
        <w:tc>
          <w:tcPr>
            <w:tcW w:type="dxa" w:w="3437"/>
            <w:vAlign w:val="top"/>
          </w:tcPr>
          <w:p>
            <w:r>
              <w:t>Tracking Center</w:t>
            </w:r>
          </w:p>
        </w:tc>
        <w:tc>
          <w:tcPr>
            <w:tcW w:type="dxa" w:w="3437"/>
            <w:vAlign w:val="top"/>
          </w:tcPr>
          <w:p>
            <w:r>
              <w:t>P0</w:t>
            </w:r>
          </w:p>
        </w:tc>
      </w:tr>
      <w:tr>
        <w:tc>
          <w:tcPr>
            <w:tcW w:type="dxa" w:w="3437"/>
            <w:vAlign w:val="top"/>
          </w:tcPr>
          <w:p>
            <w:r>
              <w:t>/carriers</w:t>
            </w:r>
          </w:p>
        </w:tc>
        <w:tc>
          <w:tcPr>
            <w:tcW w:type="dxa" w:w="3437"/>
            <w:vAlign w:val="top"/>
          </w:tcPr>
          <w:p>
            <w:r>
              <w:t>Carrier Accounts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  <w:tr>
        <w:tc>
          <w:tcPr>
            <w:tcW w:type="dxa" w:w="3437"/>
            <w:vAlign w:val="top"/>
          </w:tcPr>
          <w:p>
            <w:r>
              <w:t>/carrier-score</w:t>
            </w:r>
          </w:p>
        </w:tc>
        <w:tc>
          <w:tcPr>
            <w:tcW w:type="dxa" w:w="3437"/>
            <w:vAlign w:val="top"/>
          </w:tcPr>
          <w:p>
            <w:r>
              <w:t>Carrier Score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  <w:tr>
        <w:tc>
          <w:tcPr>
            <w:tcW w:type="dxa" w:w="3437"/>
            <w:vAlign w:val="top"/>
          </w:tcPr>
          <w:p>
            <w:r>
              <w:t>/routing-rules</w:t>
            </w:r>
          </w:p>
        </w:tc>
        <w:tc>
          <w:tcPr>
            <w:tcW w:type="dxa" w:w="3437"/>
            <w:vAlign w:val="top"/>
          </w:tcPr>
          <w:p>
            <w:r>
              <w:t>Routing Rules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  <w:tr>
        <w:tc>
          <w:tcPr>
            <w:tcW w:type="dxa" w:w="3437"/>
            <w:vAlign w:val="top"/>
          </w:tcPr>
          <w:p>
            <w:r>
              <w:t>/invoices</w:t>
            </w:r>
          </w:p>
        </w:tc>
        <w:tc>
          <w:tcPr>
            <w:tcW w:type="dxa" w:w="3437"/>
            <w:vAlign w:val="top"/>
          </w:tcPr>
          <w:p>
            <w:r>
              <w:t>Costs/Invoices</w:t>
            </w:r>
          </w:p>
        </w:tc>
        <w:tc>
          <w:tcPr>
            <w:tcW w:type="dxa" w:w="3437"/>
            <w:vAlign w:val="top"/>
          </w:tcPr>
          <w:p>
            <w:r>
              <w:t>P2</w:t>
            </w:r>
          </w:p>
        </w:tc>
      </w:tr>
      <w:tr>
        <w:tc>
          <w:tcPr>
            <w:tcW w:type="dxa" w:w="3437"/>
            <w:vAlign w:val="top"/>
          </w:tcPr>
          <w:p>
            <w:r>
              <w:t>/integrations</w:t>
            </w:r>
          </w:p>
        </w:tc>
        <w:tc>
          <w:tcPr>
            <w:tcW w:type="dxa" w:w="3437"/>
            <w:vAlign w:val="top"/>
          </w:tcPr>
          <w:p>
            <w:r>
              <w:t>Integrations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  <w:tr>
        <w:tc>
          <w:tcPr>
            <w:tcW w:type="dxa" w:w="3437"/>
            <w:vAlign w:val="top"/>
          </w:tcPr>
          <w:p>
            <w:r>
              <w:t>/settings/users</w:t>
            </w:r>
          </w:p>
        </w:tc>
        <w:tc>
          <w:tcPr>
            <w:tcW w:type="dxa" w:w="3437"/>
            <w:vAlign w:val="top"/>
          </w:tcPr>
          <w:p>
            <w:r>
              <w:t>Users/RBAC</w:t>
            </w:r>
          </w:p>
        </w:tc>
        <w:tc>
          <w:tcPr>
            <w:tcW w:type="dxa" w:w="3437"/>
            <w:vAlign w:val="top"/>
          </w:tcPr>
          <w:p>
            <w:r>
              <w:t>P1</w:t>
            </w:r>
          </w:p>
        </w:tc>
      </w:tr>
    </w:tbl>
    <w:p>
      <w:pPr>
        <w:pStyle w:val="Heading1"/>
      </w:pPr>
      <w:r>
        <w:t>3. Общие UI states</w:t>
      </w:r>
    </w:p>
    <w:p>
      <w:pPr>
        <w:pStyle w:val="ListBullet"/>
      </w:pPr>
      <w:r>
        <w:t>loading/skeleton, empty, success, partial success, stale, validation error, forbidden, not found, upstream error.</w:t>
      </w:r>
    </w:p>
    <w:p>
      <w:pPr>
        <w:pStyle w:val="ListBullet"/>
      </w:pPr>
      <w:r>
        <w:t>Ни один carrier timeout не должен превращать Rate Shopping в общий error, если есть другие offers.</w:t>
      </w:r>
    </w:p>
    <w:p>
      <w:pPr>
        <w:pStyle w:val="ListBullet"/>
      </w:pPr>
      <w:r>
        <w:t>request_id показывается в technical error details для поддержки.</w:t>
      </w:r>
    </w:p>
    <w:p>
      <w:pPr>
        <w:pStyle w:val="ListBullet"/>
      </w:pPr>
      <w:r>
        <w:t>Форма shipment draft сохраняет введенные данные при transient error.</w:t>
      </w:r>
    </w:p>
    <w:p>
      <w:pPr>
        <w:pStyle w:val="Heading1"/>
      </w:pPr>
      <w:r>
        <w:t>4. Rate Shopping — экран P0</w:t>
      </w:r>
    </w:p>
    <w:p>
      <w:pPr>
        <w:pStyle w:val="ListBullet"/>
      </w:pPr>
      <w:r>
        <w:t>Header: маршрут, места/вес, cargo value, deadline, insurance policy.</w:t>
      </w:r>
    </w:p>
    <w:p>
      <w:pPr>
        <w:pStyle w:val="ListBullet"/>
      </w:pPr>
      <w:r>
        <w:t>Strategy tabs: Оптимальный / Самый дешевый / Самый быстрый / Самый надежный.</w:t>
      </w:r>
    </w:p>
    <w:p>
      <w:pPr>
        <w:pStyle w:val="ListBullet"/>
      </w:pPr>
      <w:r>
        <w:t>Recommended hero card: carrier/service/source, Total Cost, ETA, deadline margin, on-time %, label, Carrier Score, Risk, Confidence, insurance, explanation.</w:t>
      </w:r>
    </w:p>
    <w:p>
      <w:pPr>
        <w:pStyle w:val="ListBullet"/>
      </w:pPr>
      <w:r>
        <w:t>Cost breakdown drawer: base + insurance + surcharges.</w:t>
      </w:r>
    </w:p>
    <w:p>
      <w:pPr>
        <w:pStyle w:val="ListBullet"/>
      </w:pPr>
      <w:r>
        <w:t>Client tariff и Logistics OS tariff визуально маркируются.</w:t>
      </w:r>
    </w:p>
    <w:p>
      <w:pPr>
        <w:pStyle w:val="ListBullet"/>
      </w:pPr>
      <w:r>
        <w:t>Eligible alternatives ниже; late/ineligible — отдельным приглушенным блоком с причиной.</w:t>
      </w:r>
    </w:p>
    <w:p>
      <w:pPr>
        <w:pStyle w:val="ListBullet"/>
      </w:pPr>
      <w:r>
        <w:t>No deadline match — красное предупреждение + ближайшие альтернативы.</w:t>
      </w:r>
    </w:p>
    <w:p>
      <w:pPr>
        <w:pStyle w:val="ListBullet"/>
      </w:pPr>
      <w:r>
        <w:t>Partial carrier failure — компактный warning, не блокирующий выбор.</w:t>
      </w:r>
    </w:p>
    <w:p>
      <w:pPr>
        <w:pStyle w:val="ListBullet"/>
      </w:pPr>
      <w:r>
        <w:t>Stale quote — disable Select/Create и CTA «Пересчитать».</w:t>
      </w:r>
    </w:p>
    <w:p>
      <w:pPr>
        <w:pStyle w:val="Heading1"/>
      </w:pPr>
      <w:r>
        <w:t>5. Recommendation / Override</w:t>
      </w:r>
    </w:p>
    <w:p>
      <w:pPr>
        <w:pStyle w:val="ListBullet"/>
      </w:pPr>
      <w:r>
        <w:t>Frontend не рассчитывает recommendation самостоятельно.</w:t>
      </w:r>
    </w:p>
    <w:p>
      <w:pPr>
        <w:pStyle w:val="ListBullet"/>
      </w:pPr>
      <w:r>
        <w:t>При смене strategy вызывает routing endpoint либо использует backend-provided precomputed result; источник истины — backend.</w:t>
      </w:r>
    </w:p>
    <w:p>
      <w:pPr>
        <w:pStyle w:val="ListBullet"/>
      </w:pPr>
      <w:r>
        <w:t>Если selected_offer != recommended_offer, открыть Override dialog.</w:t>
      </w:r>
    </w:p>
    <w:p>
      <w:pPr>
        <w:pStyle w:val="ListBullet"/>
      </w:pPr>
      <w:r>
        <w:t>Reasons: cheaper, faster, recipient requirement, corporate contract/policy, negative experience, carrier preference, other.</w:t>
      </w:r>
    </w:p>
    <w:p>
      <w:pPr>
        <w:pStyle w:val="ListBullet"/>
      </w:pPr>
      <w:r>
        <w:t>Обязательность reason определяется tenant policy из backend.</w:t>
      </w:r>
    </w:p>
    <w:p>
      <w:pPr>
        <w:pStyle w:val="ListBullet"/>
      </w:pPr>
      <w:r>
        <w:t>После POST decision сохранить decision_id/snapshot_id и только затем создавать shipment.</w:t>
      </w:r>
    </w:p>
    <w:p>
      <w:pPr>
        <w:pStyle w:val="Heading1"/>
      </w:pPr>
      <w:r>
        <w:t>6. Auto Select UX</w:t>
      </w:r>
    </w:p>
    <w:p>
      <w:pPr>
        <w:pStyle w:val="ListBullet"/>
      </w:pPr>
      <w:r>
        <w:t>Auto Select не должен выглядеть как скрытая автоматизация: UI показывает, что правило активно.</w:t>
      </w:r>
    </w:p>
    <w:p>
      <w:pPr>
        <w:pStyle w:val="ListBullet"/>
      </w:pPr>
      <w:r>
        <w:t>Перед автоматическим созданием backend подтверждает eligibility/policy.</w:t>
      </w:r>
    </w:p>
    <w:p>
      <w:pPr>
        <w:pStyle w:val="ListBullet"/>
      </w:pPr>
      <w:r>
        <w:t>Состояния: auto-selected, manual review required, blocked by deadline/policy, failed upstream.</w:t>
      </w:r>
    </w:p>
    <w:p>
      <w:pPr>
        <w:pStyle w:val="ListBullet"/>
      </w:pPr>
      <w:r>
        <w:t>В Shipment Details показывать «Selected automatically» + rule/policy version.</w:t>
      </w:r>
    </w:p>
    <w:p>
      <w:pPr>
        <w:pStyle w:val="Heading1"/>
      </w:pPr>
      <w:r>
        <w:t>7. Shipment Details</w:t>
      </w:r>
    </w:p>
    <w:p>
      <w:pPr>
        <w:pStyle w:val="ListBullet"/>
      </w:pPr>
      <w:r>
        <w:t>Summary: carrier, service, tracking, status, deadline, ETA, Total Cost.</w:t>
      </w:r>
    </w:p>
    <w:p>
      <w:pPr>
        <w:pStyle w:val="ListBullet"/>
      </w:pPr>
      <w:r>
        <w:t>Decision block: recommended vs selected, strategy, override, explanation snapshot.</w:t>
      </w:r>
    </w:p>
    <w:p>
      <w:pPr>
        <w:pStyle w:val="ListBullet"/>
      </w:pPr>
      <w:r>
        <w:t>Tracking timeline: normalized status + carrier status + time/location.</w:t>
      </w:r>
    </w:p>
    <w:p>
      <w:pPr>
        <w:pStyle w:val="ListBullet"/>
      </w:pPr>
      <w:r>
        <w:t>Documents: label/waybill where available.</w:t>
      </w:r>
    </w:p>
    <w:p>
      <w:pPr>
        <w:pStyle w:val="ListBullet"/>
      </w:pPr>
      <w:r>
        <w:t>Actual outcome after delivery: delivered time, deadline hit/miss, actual cost, damage/claim.</w:t>
      </w:r>
    </w:p>
    <w:p>
      <w:pPr>
        <w:pStyle w:val="Heading1"/>
      </w:pPr>
      <w:r>
        <w:t>8. Carrier Accounts</w:t>
      </w:r>
    </w:p>
    <w:p>
      <w:pPr>
        <w:pStyle w:val="ListBullet"/>
      </w:pPr>
      <w:r>
        <w:t>Список подключенных договоров, а не только брендов перевозчиков.</w:t>
      </w:r>
    </w:p>
    <w:p>
      <w:pPr>
        <w:pStyle w:val="ListBullet"/>
      </w:pPr>
      <w:r>
        <w:t>Показывать source/client contract, masked account identifier, capabilities, health, last successful call.</w:t>
      </w:r>
    </w:p>
    <w:p>
      <w:pPr>
        <w:pStyle w:val="ListBullet"/>
      </w:pPr>
      <w:r>
        <w:t>Credentials никогда не возвращаются/не отображаются после сохранения.</w:t>
      </w:r>
    </w:p>
    <w:p>
      <w:pPr>
        <w:pStyle w:val="ListBullet"/>
      </w:pPr>
      <w:r>
        <w:t>Test connection action вызывает backend health check.</w:t>
      </w:r>
    </w:p>
    <w:p>
      <w:pPr>
        <w:pStyle w:val="Heading1"/>
      </w:pPr>
      <w:r>
        <w:t>9. RBAC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5156"/>
            <w:vAlign w:val="top"/>
          </w:tcPr>
          <w:p>
            <w:r>
              <w:t>shipment.create</w:t>
            </w:r>
          </w:p>
        </w:tc>
        <w:tc>
          <w:tcPr>
            <w:tcW w:type="dxa" w:w="5156"/>
            <w:vAlign w:val="top"/>
          </w:tcPr>
          <w:p>
            <w:r>
              <w:t>Создание отправления.</w:t>
            </w:r>
          </w:p>
        </w:tc>
      </w:tr>
      <w:tr>
        <w:tc>
          <w:tcPr>
            <w:tcW w:type="dxa" w:w="5156"/>
            <w:vAlign w:val="top"/>
          </w:tcPr>
          <w:p>
            <w:r>
              <w:t>shipment.cancel</w:t>
            </w:r>
          </w:p>
        </w:tc>
        <w:tc>
          <w:tcPr>
            <w:tcW w:type="dxa" w:w="5156"/>
            <w:vAlign w:val="top"/>
          </w:tcPr>
          <w:p>
            <w:r>
              <w:t>Отмена.</w:t>
            </w:r>
          </w:p>
        </w:tc>
      </w:tr>
      <w:tr>
        <w:tc>
          <w:tcPr>
            <w:tcW w:type="dxa" w:w="5156"/>
            <w:vAlign w:val="top"/>
          </w:tcPr>
          <w:p>
            <w:r>
              <w:t>insurance.override</w:t>
            </w:r>
          </w:p>
        </w:tc>
        <w:tc>
          <w:tcPr>
            <w:tcW w:type="dxa" w:w="5156"/>
            <w:vAlign w:val="top"/>
          </w:tcPr>
          <w:p>
            <w:r>
              <w:t>Изменение обязательного страхования.</w:t>
            </w:r>
          </w:p>
        </w:tc>
      </w:tr>
      <w:tr>
        <w:tc>
          <w:tcPr>
            <w:tcW w:type="dxa" w:w="5156"/>
            <w:vAlign w:val="top"/>
          </w:tcPr>
          <w:p>
            <w:r>
              <w:t>routing.auto_select</w:t>
            </w:r>
          </w:p>
        </w:tc>
        <w:tc>
          <w:tcPr>
            <w:tcW w:type="dxa" w:w="5156"/>
            <w:vAlign w:val="top"/>
          </w:tcPr>
          <w:p>
            <w:r>
              <w:t>Включение автоматического выбора.</w:t>
            </w:r>
          </w:p>
        </w:tc>
      </w:tr>
      <w:tr>
        <w:tc>
          <w:tcPr>
            <w:tcW w:type="dxa" w:w="5156"/>
            <w:vAlign w:val="top"/>
          </w:tcPr>
          <w:p>
            <w:r>
              <w:t>routing.rules.manage</w:t>
            </w:r>
          </w:p>
        </w:tc>
        <w:tc>
          <w:tcPr>
            <w:tcW w:type="dxa" w:w="5156"/>
            <w:vAlign w:val="top"/>
          </w:tcPr>
          <w:p>
            <w:r>
              <w:t>Правила.</w:t>
            </w:r>
          </w:p>
        </w:tc>
      </w:tr>
      <w:tr>
        <w:tc>
          <w:tcPr>
            <w:tcW w:type="dxa" w:w="5156"/>
            <w:vAlign w:val="top"/>
          </w:tcPr>
          <w:p>
            <w:r>
              <w:t>billing.view</w:t>
            </w:r>
          </w:p>
        </w:tc>
        <w:tc>
          <w:tcPr>
            <w:tcW w:type="dxa" w:w="5156"/>
            <w:vAlign w:val="top"/>
          </w:tcPr>
          <w:p>
            <w:r>
              <w:t>Финансы.</w:t>
            </w:r>
          </w:p>
        </w:tc>
      </w:tr>
      <w:tr>
        <w:tc>
          <w:tcPr>
            <w:tcW w:type="dxa" w:w="5156"/>
            <w:vAlign w:val="top"/>
          </w:tcPr>
          <w:p>
            <w:r>
              <w:t>integrations.manage</w:t>
            </w:r>
          </w:p>
        </w:tc>
        <w:tc>
          <w:tcPr>
            <w:tcW w:type="dxa" w:w="5156"/>
            <w:vAlign w:val="top"/>
          </w:tcPr>
          <w:p>
            <w:r>
              <w:t>Credentials/API.</w:t>
            </w:r>
          </w:p>
        </w:tc>
      </w:tr>
      <w:tr>
        <w:tc>
          <w:tcPr>
            <w:tcW w:type="dxa" w:w="5156"/>
            <w:vAlign w:val="top"/>
          </w:tcPr>
          <w:p>
            <w:r>
              <w:t>users.manage</w:t>
            </w:r>
          </w:p>
        </w:tc>
        <w:tc>
          <w:tcPr>
            <w:tcW w:type="dxa" w:w="5156"/>
            <w:vAlign w:val="top"/>
          </w:tcPr>
          <w:p>
            <w:r>
              <w:t>Пользователи/роли.</w:t>
            </w:r>
          </w:p>
        </w:tc>
      </w:tr>
    </w:tbl>
    <w:p>
      <w:pPr>
        <w:pStyle w:val="Heading1"/>
      </w:pPr>
      <w:r>
        <w:t>10. API contract rules</w:t>
      </w:r>
    </w:p>
    <w:p>
      <w:pPr>
        <w:pStyle w:val="ListBullet"/>
      </w:pPr>
      <w:r>
        <w:t>Использовать финальный OpenAPI из пакета как contract source.</w:t>
      </w:r>
    </w:p>
    <w:p>
      <w:pPr>
        <w:pStyle w:val="ListBullet"/>
      </w:pPr>
      <w:r>
        <w:t>Money отображается из amount_minor/currency; float arithmetic для денег запрещена.</w:t>
      </w:r>
    </w:p>
    <w:p>
      <w:pPr>
        <w:pStyle w:val="ListBullet"/>
      </w:pPr>
      <w:r>
        <w:t>Все timestamps timezone-aware; отображать в timezone tenant/user.</w:t>
      </w:r>
    </w:p>
    <w:p>
      <w:pPr>
        <w:pStyle w:val="ListBullet"/>
      </w:pPr>
      <w:r>
        <w:t>Не зависеть от raw carrier payload.</w:t>
      </w:r>
    </w:p>
    <w:p>
      <w:pPr>
        <w:pStyle w:val="ListBullet"/>
      </w:pPr>
      <w:r>
        <w:t>Unknown enum/status должен иметь safe fallback, а не ломать экран.</w:t>
      </w:r>
    </w:p>
    <w:p>
      <w:pPr>
        <w:pStyle w:val="Heading1"/>
      </w:pPr>
      <w:r>
        <w:t>11. Analytics events</w:t>
      </w:r>
    </w:p>
    <w:p>
      <w:pPr>
        <w:pStyle w:val="ListBullet"/>
      </w:pPr>
      <w:r>
        <w:t>rate_requested, rate_partial_failure, strategy_changed, recommendation_viewed, offer_selected, override_opened, override_confirmed, shipment_created, tracking_exception_opened.</w:t>
      </w:r>
    </w:p>
    <w:p>
      <w:pPr>
        <w:pStyle w:val="ListBullet"/>
      </w:pPr>
      <w:r>
        <w:t>Не отправлять credentials, телефоны/адреса и чувствительные shipment payload в продуктовую аналитику.</w:t>
      </w:r>
    </w:p>
    <w:p>
      <w:pPr>
        <w:pStyle w:val="Heading1"/>
      </w:pPr>
      <w:r>
        <w:t>12. E2E acceptance suite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56"/>
            <w:vAlign w:val="top"/>
          </w:tcPr>
          <w:p>
            <w:r>
              <w:t>Happy path</w:t>
            </w:r>
          </w:p>
        </w:tc>
        <w:tc>
          <w:tcPr>
            <w:tcW w:type="dxa" w:w="5156"/>
            <w:vAlign w:val="top"/>
          </w:tcPr>
          <w:p>
            <w:r>
              <w:t>Login → draft → rates → recommendation → decision → shipment → tracking.</w:t>
            </w:r>
          </w:p>
        </w:tc>
      </w:tr>
      <w:tr>
        <w:tc>
          <w:tcPr>
            <w:tcW w:type="dxa" w:w="5156"/>
            <w:vAlign w:val="top"/>
          </w:tcPr>
          <w:p>
            <w:r>
              <w:t>Partial success</w:t>
            </w:r>
          </w:p>
        </w:tc>
        <w:tc>
          <w:tcPr>
            <w:tcW w:type="dxa" w:w="5156"/>
            <w:vAlign w:val="top"/>
          </w:tcPr>
          <w:p>
            <w:r>
              <w:t>1 carrier timeout; остальные offers доступны.</w:t>
            </w:r>
          </w:p>
        </w:tc>
      </w:tr>
      <w:tr>
        <w:tc>
          <w:tcPr>
            <w:tcW w:type="dxa" w:w="5156"/>
            <w:vAlign w:val="top"/>
          </w:tcPr>
          <w:p>
            <w:r>
              <w:t>Deadline miss</w:t>
            </w:r>
          </w:p>
        </w:tc>
        <w:tc>
          <w:tcPr>
            <w:tcW w:type="dxa" w:w="5156"/>
            <w:vAlign w:val="top"/>
          </w:tcPr>
          <w:p>
            <w:r>
              <w:t>Late offers visible/inactive; nearest alternatives shown.</w:t>
            </w:r>
          </w:p>
        </w:tc>
      </w:tr>
      <w:tr>
        <w:tc>
          <w:tcPr>
            <w:tcW w:type="dxa" w:w="5156"/>
            <w:vAlign w:val="top"/>
          </w:tcPr>
          <w:p>
            <w:r>
              <w:t>Mandatory insurance</w:t>
            </w:r>
          </w:p>
        </w:tc>
        <w:tc>
          <w:tcPr>
            <w:tcW w:type="dxa" w:w="5156"/>
            <w:vAlign w:val="top"/>
          </w:tcPr>
          <w:p>
            <w:r>
              <w:t>Insurance included; unauthorized override denied.</w:t>
            </w:r>
          </w:p>
        </w:tc>
      </w:tr>
      <w:tr>
        <w:tc>
          <w:tcPr>
            <w:tcW w:type="dxa" w:w="5156"/>
            <w:vAlign w:val="top"/>
          </w:tcPr>
          <w:p>
            <w:r>
              <w:t>Override</w:t>
            </w:r>
          </w:p>
        </w:tc>
        <w:tc>
          <w:tcPr>
            <w:tcW w:type="dxa" w:w="5156"/>
            <w:vAlign w:val="top"/>
          </w:tcPr>
          <w:p>
            <w:r>
              <w:t>Reason saved and visible in decision history.</w:t>
            </w:r>
          </w:p>
        </w:tc>
      </w:tr>
      <w:tr>
        <w:tc>
          <w:tcPr>
            <w:tcW w:type="dxa" w:w="5156"/>
            <w:vAlign w:val="top"/>
          </w:tcPr>
          <w:p>
            <w:r>
              <w:t>Stale quote</w:t>
            </w:r>
          </w:p>
        </w:tc>
        <w:tc>
          <w:tcPr>
            <w:tcW w:type="dxa" w:w="5156"/>
            <w:vAlign w:val="top"/>
          </w:tcPr>
          <w:p>
            <w:r>
              <w:t>Create disabled until refresh.</w:t>
            </w:r>
          </w:p>
        </w:tc>
      </w:tr>
      <w:tr>
        <w:tc>
          <w:tcPr>
            <w:tcW w:type="dxa" w:w="5156"/>
            <w:vAlign w:val="top"/>
          </w:tcPr>
          <w:p>
            <w:r>
              <w:t>Duplicate click</w:t>
            </w:r>
          </w:p>
        </w:tc>
        <w:tc>
          <w:tcPr>
            <w:tcW w:type="dxa" w:w="5156"/>
            <w:vAlign w:val="top"/>
          </w:tcPr>
          <w:p>
            <w:r>
              <w:t>Idempotent backend prevents duplicate shipment; UI handles response.</w:t>
            </w:r>
          </w:p>
        </w:tc>
      </w:tr>
      <w:tr>
        <w:tc>
          <w:tcPr>
            <w:tcW w:type="dxa" w:w="5156"/>
            <w:vAlign w:val="top"/>
          </w:tcPr>
          <w:p>
            <w:r>
              <w:t>RBAC</w:t>
            </w:r>
          </w:p>
        </w:tc>
        <w:tc>
          <w:tcPr>
            <w:tcW w:type="dxa" w:w="5156"/>
            <w:vAlign w:val="top"/>
          </w:tcPr>
          <w:p>
            <w:r>
              <w:t>Viewer cannot mutate.</w:t>
            </w:r>
          </w:p>
        </w:tc>
      </w:tr>
      <w:tr>
        <w:tc>
          <w:tcPr>
            <w:tcW w:type="dxa" w:w="5156"/>
            <w:vAlign w:val="top"/>
          </w:tcPr>
          <w:p>
            <w:r>
              <w:t>Auto Select blocked</w:t>
            </w:r>
          </w:p>
        </w:tc>
        <w:tc>
          <w:tcPr>
            <w:tcW w:type="dxa" w:w="5156"/>
            <w:vAlign w:val="top"/>
          </w:tcPr>
          <w:p>
            <w:r>
              <w:t>No eligible offer → manual review.</w:t>
            </w:r>
          </w:p>
        </w:tc>
      </w:tr>
    </w:tbl>
    <w:p>
      <w:pPr>
        <w:pStyle w:val="Heading1"/>
      </w:pPr>
      <w:r>
        <w:t>13. Definition of Done Frontend</w:t>
      </w:r>
    </w:p>
    <w:p>
      <w:pPr>
        <w:pStyle w:val="ListBullet"/>
      </w:pPr>
      <w:r>
        <w:t>Все P0 screens и states реализованы.</w:t>
      </w:r>
    </w:p>
    <w:p>
      <w:pPr>
        <w:pStyle w:val="ListBullet"/>
      </w:pPr>
      <w:r>
        <w:t>OpenAPI types синхронизированы.</w:t>
      </w:r>
    </w:p>
    <w:p>
      <w:pPr>
        <w:pStyle w:val="ListBullet"/>
      </w:pPr>
      <w:r>
        <w:t>Accessibility: keyboard navigation, labels, focus states, contrast.</w:t>
      </w:r>
    </w:p>
    <w:p>
      <w:pPr>
        <w:pStyle w:val="ListBullet"/>
      </w:pPr>
      <w:r>
        <w:t>Responsive desktop/tablet; сложные настройки могут быть desktop-only в MVP.</w:t>
      </w:r>
    </w:p>
    <w:p>
      <w:pPr>
        <w:pStyle w:val="ListBullet"/>
      </w:pPr>
      <w:r>
        <w:t>No console errors; TypeScript strict; lint/test CI green.</w:t>
      </w:r>
    </w:p>
    <w:p>
      <w:pPr>
        <w:pStyle w:val="ListBullet"/>
      </w:pPr>
      <w:r>
        <w:t>Playwright P0 suite green на Stage.</w:t>
      </w:r>
    </w:p>
    <w:p>
      <w:pPr>
        <w:pStyle w:val="ListBullet"/>
      </w:pPr>
      <w:r>
        <w:t>Observability/error reporting подключены.</w:t>
      </w:r>
    </w:p>
    <w:p>
      <w:pPr>
        <w:pStyle w:val="ListBullet"/>
      </w:pPr>
      <w:r>
        <w:t>Security review: no secrets in localStorage/bundle/logs.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