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Logistics OS — Финальное ТЗ для Back-end разработчика</w:t>
      </w:r>
    </w:p>
    <w:p>
      <w:pPr>
        <w:jc w:val="center"/>
      </w:pPr>
      <w:r>
        <w:t>Architecture, API, Data, Carrier Adapters • версия 3.0</w:t>
      </w:r>
    </w:p>
    <w:p>
      <w:pPr>
        <w:jc w:val="center"/>
      </w:pPr>
      <w:r>
        <w:rPr>
          <w:b/>
        </w:rPr>
        <w:t>ФИНАЛЬНАЯ РЕДАКЦИЯ ДЛЯ СТАРТА РАЗРАБОТКИ</w:t>
      </w:r>
    </w:p>
    <w:p>
      <w:pPr>
        <w:pStyle w:val="Heading1"/>
      </w:pPr>
      <w:r>
        <w:t>1. Архитектурное решение MVP</w:t>
      </w:r>
    </w:p>
    <w:p>
      <w:pPr>
        <w:pStyle w:val="ListBullet"/>
      </w:pPr>
      <w:r>
        <w:t>Modular monolith: Auth/Tenant, Carrier, Rate, Routing, Shipment, Tracking, Intelligence, Billing, Audit.</w:t>
      </w:r>
    </w:p>
    <w:p>
      <w:pPr>
        <w:pStyle w:val="ListBullet"/>
      </w:pPr>
      <w:r>
        <w:t>FastAPI/Python baseline; PostgreSQL; Redis; background workers; S3-compatible object storage.</w:t>
      </w:r>
    </w:p>
    <w:p>
      <w:pPr>
        <w:pStyle w:val="ListBullet"/>
      </w:pPr>
      <w:r>
        <w:t>Carrier adapters — отдельные модули с единым интерфейсом.</w:t>
      </w:r>
    </w:p>
    <w:p>
      <w:pPr>
        <w:pStyle w:val="ListBullet"/>
      </w:pPr>
      <w:r>
        <w:t>OpenAPI 3.1 — контракт с Frontend и внешними клиентами.</w:t>
      </w:r>
    </w:p>
    <w:p>
      <w:pPr>
        <w:pStyle w:val="ListBullet"/>
      </w:pPr>
      <w:r>
        <w:t>Переход к отдельным сервисам допускается только по измеренной нагрузке/организационной необходимости.</w:t>
      </w:r>
    </w:p>
    <w:p>
      <w:pPr>
        <w:pStyle w:val="Heading1"/>
      </w:pPr>
      <w:r>
        <w:t>2. Multi-tenancy и безопасность</w:t>
      </w:r>
    </w:p>
    <w:p>
      <w:pPr>
        <w:pStyle w:val="ListBullet"/>
      </w:pPr>
      <w:r>
        <w:t>tenant_id обязателен для tenant-owned сущностей; проверка tenant scope в service/repository layer и тестах.</w:t>
      </w:r>
    </w:p>
    <w:p>
      <w:pPr>
        <w:pStyle w:val="ListBullet"/>
      </w:pPr>
      <w:r>
        <w:t>RBAC backend-side; frontend не является security boundary.</w:t>
      </w:r>
    </w:p>
    <w:p>
      <w:pPr>
        <w:pStyle w:val="ListBullet"/>
      </w:pPr>
      <w:r>
        <w:t>Carrier credentials шифруются at rest и никогда не попадают в response/log/snapshot.</w:t>
      </w:r>
    </w:p>
    <w:p>
      <w:pPr>
        <w:pStyle w:val="ListBullet"/>
      </w:pPr>
      <w:r>
        <w:t>JWT/session strategy с refresh; rotation/revocation policy.</w:t>
      </w:r>
    </w:p>
    <w:p>
      <w:pPr>
        <w:pStyle w:val="ListBullet"/>
      </w:pPr>
      <w:r>
        <w:t>PII минимизировать в логах; audit отдельно от operational logs.</w:t>
      </w:r>
    </w:p>
    <w:p>
      <w:pPr>
        <w:pStyle w:val="ListBullet"/>
      </w:pPr>
      <w:r>
        <w:t>Rate limiting для public API; webhook verification там, где carrier поддерживает подпись/secret.</w:t>
      </w:r>
    </w:p>
    <w:p>
      <w:pPr>
        <w:pStyle w:val="Heading1"/>
      </w:pPr>
      <w:r>
        <w:t>3. Data model — обязательные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Ключевые поля/правила</w:t>
            </w:r>
          </w:p>
        </w:tc>
      </w:tr>
      <w:tr>
        <w:tc>
          <w:tcPr>
            <w:tcW w:type="dxa" w:w="5156"/>
            <w:vAlign w:val="top"/>
          </w:tcPr>
          <w:p>
            <w:r>
              <w:t>Tenant</w:t>
            </w:r>
          </w:p>
        </w:tc>
        <w:tc>
          <w:tcPr>
            <w:tcW w:type="dxa" w:w="5156"/>
            <w:vAlign w:val="top"/>
          </w:tcPr>
          <w:p>
            <w:r>
              <w:t>id, name, timezone, policies.</w:t>
            </w:r>
          </w:p>
        </w:tc>
      </w:tr>
      <w:tr>
        <w:tc>
          <w:tcPr>
            <w:tcW w:type="dxa" w:w="5156"/>
            <w:vAlign w:val="top"/>
          </w:tcPr>
          <w:p>
            <w:r>
              <w:t>User/Role/Permission</w:t>
            </w:r>
          </w:p>
        </w:tc>
        <w:tc>
          <w:tcPr>
            <w:tcW w:type="dxa" w:w="5156"/>
            <w:vAlign w:val="top"/>
          </w:tcPr>
          <w:p>
            <w:r>
              <w:t>tenant scoped RBAC.</w:t>
            </w:r>
          </w:p>
        </w:tc>
      </w:tr>
      <w:tr>
        <w:tc>
          <w:tcPr>
            <w:tcW w:type="dxa" w:w="5156"/>
            <w:vAlign w:val="top"/>
          </w:tcPr>
          <w:p>
            <w:r>
              <w:t>Carrier</w:t>
            </w:r>
          </w:p>
        </w:tc>
        <w:tc>
          <w:tcPr>
            <w:tcW w:type="dxa" w:w="5156"/>
            <w:vAlign w:val="top"/>
          </w:tcPr>
          <w:p>
            <w:r>
              <w:t>global code/name.</w:t>
            </w:r>
          </w:p>
        </w:tc>
      </w:tr>
      <w:tr>
        <w:tc>
          <w:tcPr>
            <w:tcW w:type="dxa" w:w="5156"/>
            <w:vAlign w:val="top"/>
          </w:tcPr>
          <w:p>
            <w:r>
              <w:t>CarrierAccount</w:t>
            </w:r>
          </w:p>
        </w:tc>
        <w:tc>
          <w:tcPr>
            <w:tcW w:type="dxa" w:w="5156"/>
            <w:vAlign w:val="top"/>
          </w:tcPr>
          <w:p>
            <w:r>
              <w:t>tenant, carrier, source, encrypted credentials, capabilities.</w:t>
            </w:r>
          </w:p>
        </w:tc>
      </w:tr>
      <w:tr>
        <w:tc>
          <w:tcPr>
            <w:tcW w:type="dxa" w:w="5156"/>
            <w:vAlign w:val="top"/>
          </w:tcPr>
          <w:p>
            <w:r>
              <w:t>CarrierService</w:t>
            </w:r>
          </w:p>
        </w:tc>
        <w:tc>
          <w:tcPr>
            <w:tcW w:type="dxa" w:w="5156"/>
            <w:vAlign w:val="top"/>
          </w:tcPr>
          <w:p>
            <w:r>
              <w:t>normalized + carrier code.</w:t>
            </w:r>
          </w:p>
        </w:tc>
      </w:tr>
      <w:tr>
        <w:tc>
          <w:tcPr>
            <w:tcW w:type="dxa" w:w="5156"/>
            <w:vAlign w:val="top"/>
          </w:tcPr>
          <w:p>
            <w:r>
              <w:t>RateQuote</w:t>
            </w:r>
          </w:p>
        </w:tc>
        <w:tc>
          <w:tcPr>
            <w:tcW w:type="dxa" w:w="5156"/>
            <w:vAlign w:val="top"/>
          </w:tcPr>
          <w:p>
            <w:r>
              <w:t>input_snapshot, strategy, valid_until.</w:t>
            </w:r>
          </w:p>
        </w:tc>
      </w:tr>
      <w:tr>
        <w:tc>
          <w:tcPr>
            <w:tcW w:type="dxa" w:w="5156"/>
            <w:vAlign w:val="top"/>
          </w:tcPr>
          <w:p>
            <w:r>
              <w:t>RateOffer</w:t>
            </w:r>
          </w:p>
        </w:tc>
        <w:tc>
          <w:tcPr>
            <w:tcW w:type="dxa" w:w="5156"/>
            <w:vAlign w:val="top"/>
          </w:tcPr>
          <w:p>
            <w:r>
              <w:t>quote, account, service, source, ETA, eligible, Total Cost.</w:t>
            </w:r>
          </w:p>
        </w:tc>
      </w:tr>
      <w:tr>
        <w:tc>
          <w:tcPr>
            <w:tcW w:type="dxa" w:w="5156"/>
            <w:vAlign w:val="top"/>
          </w:tcPr>
          <w:p>
            <w:r>
              <w:t>CostComponent</w:t>
            </w:r>
          </w:p>
        </w:tc>
        <w:tc>
          <w:tcPr>
            <w:tcW w:type="dxa" w:w="5156"/>
            <w:vAlign w:val="top"/>
          </w:tcPr>
          <w:p>
            <w:r>
              <w:t>type, amount_minor, currency, rate_percent.</w:t>
            </w:r>
          </w:p>
        </w:tc>
      </w:tr>
      <w:tr>
        <w:tc>
          <w:tcPr>
            <w:tcW w:type="dxa" w:w="5156"/>
            <w:vAlign w:val="top"/>
          </w:tcPr>
          <w:p>
            <w:r>
              <w:t>Recommendation</w:t>
            </w:r>
          </w:p>
        </w:tc>
        <w:tc>
          <w:tcPr>
            <w:tcW w:type="dxa" w:w="5156"/>
            <w:vAlign w:val="top"/>
          </w:tcPr>
          <w:p>
            <w:r>
              <w:t>quote, offer, strategy, explanation_facts, algorithm_version, policy_version.</w:t>
            </w:r>
          </w:p>
        </w:tc>
      </w:tr>
      <w:tr>
        <w:tc>
          <w:tcPr>
            <w:tcW w:type="dxa" w:w="5156"/>
            <w:vAlign w:val="top"/>
          </w:tcPr>
          <w:p>
            <w:r>
              <w:t>Decision</w:t>
            </w:r>
          </w:p>
        </w:tc>
        <w:tc>
          <w:tcPr>
            <w:tcW w:type="dxa" w:w="5156"/>
            <w:vAlign w:val="top"/>
          </w:tcPr>
          <w:p>
            <w:r>
              <w:t>recommendation, selected_offer, actor, override, reason, mode.</w:t>
            </w:r>
          </w:p>
        </w:tc>
      </w:tr>
      <w:tr>
        <w:tc>
          <w:tcPr>
            <w:tcW w:type="dxa" w:w="5156"/>
            <w:vAlign w:val="top"/>
          </w:tcPr>
          <w:p>
            <w:r>
              <w:t>Shipment</w:t>
            </w:r>
          </w:p>
        </w:tc>
        <w:tc>
          <w:tcPr>
            <w:tcW w:type="dxa" w:w="5156"/>
            <w:vAlign w:val="top"/>
          </w:tcPr>
          <w:p>
            <w:r>
              <w:t>decision, carrier shipment id, tracking, status, deadline, ETA.</w:t>
            </w:r>
          </w:p>
        </w:tc>
      </w:tr>
      <w:tr>
        <w:tc>
          <w:tcPr>
            <w:tcW w:type="dxa" w:w="5156"/>
            <w:vAlign w:val="top"/>
          </w:tcPr>
          <w:p>
            <w:r>
              <w:t>TrackingEvent</w:t>
            </w:r>
          </w:p>
        </w:tc>
        <w:tc>
          <w:tcPr>
            <w:tcW w:type="dxa" w:w="5156"/>
            <w:vAlign w:val="top"/>
          </w:tcPr>
          <w:p>
            <w:r>
              <w:t>append-only normalized + original.</w:t>
            </w:r>
          </w:p>
        </w:tc>
      </w:tr>
      <w:tr>
        <w:tc>
          <w:tcPr>
            <w:tcW w:type="dxa" w:w="5156"/>
            <w:vAlign w:val="top"/>
          </w:tcPr>
          <w:p>
            <w:r>
              <w:t>DeliveryOutcome</w:t>
            </w:r>
          </w:p>
        </w:tc>
        <w:tc>
          <w:tcPr>
            <w:tcW w:type="dxa" w:w="5156"/>
            <w:vAlign w:val="top"/>
          </w:tcPr>
          <w:p>
            <w:r>
              <w:t>delivered_at, deadline_met, actual cost, damage, claim.</w:t>
            </w:r>
          </w:p>
        </w:tc>
      </w:tr>
      <w:tr>
        <w:tc>
          <w:tcPr>
            <w:tcW w:type="dxa" w:w="5156"/>
            <w:vAlign w:val="top"/>
          </w:tcPr>
          <w:p>
            <w:r>
              <w:t>CarrierScore</w:t>
            </w:r>
          </w:p>
        </w:tc>
        <w:tc>
          <w:tcPr>
            <w:tcW w:type="dxa" w:w="5156"/>
            <w:vAlign w:val="top"/>
          </w:tcPr>
          <w:p>
            <w:r>
              <w:t>scope, metrics, score, risk, confidence, formula_version.</w:t>
            </w:r>
          </w:p>
        </w:tc>
      </w:tr>
      <w:tr>
        <w:tc>
          <w:tcPr>
            <w:tcW w:type="dxa" w:w="5156"/>
            <w:vAlign w:val="top"/>
          </w:tcPr>
          <w:p>
            <w:r>
              <w:t>RoutingRule</w:t>
            </w:r>
          </w:p>
        </w:tc>
        <w:tc>
          <w:tcPr>
            <w:tcW w:type="dxa" w:w="5156"/>
            <w:vAlign w:val="top"/>
          </w:tcPr>
          <w:p>
            <w:r>
              <w:t>priority, conditions, actions, enabled.</w:t>
            </w:r>
          </w:p>
        </w:tc>
      </w:tr>
      <w:tr>
        <w:tc>
          <w:tcPr>
            <w:tcW w:type="dxa" w:w="5156"/>
            <w:vAlign w:val="top"/>
          </w:tcPr>
          <w:p>
            <w:r>
              <w:t>AuditLog</w:t>
            </w:r>
          </w:p>
        </w:tc>
        <w:tc>
          <w:tcPr>
            <w:tcW w:type="dxa" w:w="5156"/>
            <w:vAlign w:val="top"/>
          </w:tcPr>
          <w:p>
            <w:r>
              <w:t>actor, action, entity, before/after refs, timestamp.</w:t>
            </w:r>
          </w:p>
        </w:tc>
      </w:tr>
    </w:tbl>
    <w:p>
      <w:pPr>
        <w:pStyle w:val="Heading1"/>
      </w:pPr>
      <w:r>
        <w:t>4. Database rules</w:t>
      </w:r>
    </w:p>
    <w:p>
      <w:pPr>
        <w:pStyle w:val="ListBullet"/>
      </w:pPr>
      <w:r>
        <w:t>UUID public IDs.</w:t>
      </w:r>
    </w:p>
    <w:p>
      <w:pPr>
        <w:pStyle w:val="ListBullet"/>
      </w:pPr>
      <w:r>
        <w:t>Money = BIGINT amount_minor + CHAR(3) currency.</w:t>
      </w:r>
    </w:p>
    <w:p>
      <w:pPr>
        <w:pStyle w:val="ListBullet"/>
      </w:pPr>
      <w:r>
        <w:t>timestamptz UTC internally.</w:t>
      </w:r>
    </w:p>
    <w:p>
      <w:pPr>
        <w:pStyle w:val="ListBullet"/>
      </w:pPr>
      <w:r>
        <w:t>FK/UNIQUE/CHECK constraints for invariants.</w:t>
      </w:r>
    </w:p>
    <w:p>
      <w:pPr>
        <w:pStyle w:val="ListBullet"/>
      </w:pPr>
      <w:r>
        <w:t>JSONB only for immutable snapshots, policy conditions/actions, carrier extensions; filter-critical data in columns.</w:t>
      </w:r>
    </w:p>
    <w:p>
      <w:pPr>
        <w:pStyle w:val="ListBullet"/>
      </w:pPr>
      <w:r>
        <w:t>Decision/Recommendation/Offer snapshots immutable after decision.</w:t>
      </w:r>
    </w:p>
    <w:p>
      <w:pPr>
        <w:pStyle w:val="ListBullet"/>
      </w:pPr>
      <w:r>
        <w:t>Indexes: tenant+created_at, shipment status, tracking number, quote valid_until, events shipment+occurred_at, carrier score scope.</w:t>
      </w:r>
    </w:p>
    <w:p>
      <w:pPr>
        <w:pStyle w:val="Heading1"/>
      </w:pPr>
      <w:r>
        <w:t>5. API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56"/>
            <w:vAlign w:val="top"/>
          </w:tcPr>
          <w:p>
            <w:r>
              <w:t>POST /v1/rates</w:t>
            </w:r>
          </w:p>
        </w:tc>
        <w:tc>
          <w:tcPr>
            <w:tcW w:type="dxa" w:w="5156"/>
            <w:vAlign w:val="top"/>
          </w:tcPr>
          <w:p>
            <w:r>
              <w:t>Creates quote snapshot; parallel adapters; returns offers + failures + TTL.</w:t>
            </w:r>
          </w:p>
        </w:tc>
      </w:tr>
      <w:tr>
        <w:tc>
          <w:tcPr>
            <w:tcW w:type="dxa" w:w="5156"/>
            <w:vAlign w:val="top"/>
          </w:tcPr>
          <w:p>
            <w:r>
              <w:t>POST /v1/routing/quote</w:t>
            </w:r>
          </w:p>
        </w:tc>
        <w:tc>
          <w:tcPr>
            <w:tcW w:type="dxa" w:w="5156"/>
            <w:vAlign w:val="top"/>
          </w:tcPr>
          <w:p>
            <w:r>
              <w:t>Returns recommendation from quote + strategy.</w:t>
            </w:r>
          </w:p>
        </w:tc>
      </w:tr>
      <w:tr>
        <w:tc>
          <w:tcPr>
            <w:tcW w:type="dxa" w:w="5156"/>
            <w:vAlign w:val="top"/>
          </w:tcPr>
          <w:p>
            <w:r>
              <w:t>POST /v1/decisions</w:t>
            </w:r>
          </w:p>
        </w:tc>
        <w:tc>
          <w:tcPr>
            <w:tcW w:type="dxa" w:w="5156"/>
            <w:vAlign w:val="top"/>
          </w:tcPr>
          <w:p>
            <w:r>
              <w:t>Immutable decision; Idempotency-Key.</w:t>
            </w:r>
          </w:p>
        </w:tc>
      </w:tr>
      <w:tr>
        <w:tc>
          <w:tcPr>
            <w:tcW w:type="dxa" w:w="5156"/>
            <w:vAlign w:val="top"/>
          </w:tcPr>
          <w:p>
            <w:r>
              <w:t>POST /v1/shipments</w:t>
            </w:r>
          </w:p>
        </w:tc>
        <w:tc>
          <w:tcPr>
            <w:tcW w:type="dxa" w:w="5156"/>
            <w:vAlign w:val="top"/>
          </w:tcPr>
          <w:p>
            <w:r>
              <w:t>Creates carrier shipment from decision; Idempotency-Key.</w:t>
            </w:r>
          </w:p>
        </w:tc>
      </w:tr>
      <w:tr>
        <w:tc>
          <w:tcPr>
            <w:tcW w:type="dxa" w:w="5156"/>
            <w:vAlign w:val="top"/>
          </w:tcPr>
          <w:p>
            <w:r>
              <w:t>GET /v1/shipments/{id}/tracking</w:t>
            </w:r>
          </w:p>
        </w:tc>
        <w:tc>
          <w:tcPr>
            <w:tcW w:type="dxa" w:w="5156"/>
            <w:vAlign w:val="top"/>
          </w:tcPr>
          <w:p>
            <w:r>
              <w:t>Normalized timeline.</w:t>
            </w:r>
          </w:p>
        </w:tc>
      </w:tr>
      <w:tr>
        <w:tc>
          <w:tcPr>
            <w:tcW w:type="dxa" w:w="5156"/>
            <w:vAlign w:val="top"/>
          </w:tcPr>
          <w:p>
            <w:r>
              <w:t>POST /v1/webhooks/{carrier}</w:t>
            </w:r>
          </w:p>
        </w:tc>
        <w:tc>
          <w:tcPr>
            <w:tcW w:type="dxa" w:w="5156"/>
            <w:vAlign w:val="top"/>
          </w:tcPr>
          <w:p>
            <w:r>
              <w:t>Fast accept → async processing; dedup.</w:t>
            </w:r>
          </w:p>
        </w:tc>
      </w:tr>
      <w:tr>
        <w:tc>
          <w:tcPr>
            <w:tcW w:type="dxa" w:w="5156"/>
            <w:vAlign w:val="top"/>
          </w:tcPr>
          <w:p>
            <w:r>
              <w:t>GET /v1/analytics/carriers</w:t>
            </w:r>
          </w:p>
        </w:tc>
        <w:tc>
          <w:tcPr>
            <w:tcW w:type="dxa" w:w="5156"/>
            <w:vAlign w:val="top"/>
          </w:tcPr>
          <w:p>
            <w:r>
              <w:t>Aggregated score/risk/confidence.</w:t>
            </w:r>
          </w:p>
        </w:tc>
      </w:tr>
    </w:tbl>
    <w:p>
      <w:pPr>
        <w:pStyle w:val="Heading1"/>
      </w:pPr>
      <w:r>
        <w:t>6. Idempotency</w:t>
      </w:r>
    </w:p>
    <w:p>
      <w:pPr>
        <w:pStyle w:val="ListBullet"/>
      </w:pPr>
      <w:r>
        <w:t>Idempotency-Key required for decision and shipment create; recommended for rate create.</w:t>
      </w:r>
    </w:p>
    <w:p>
      <w:pPr>
        <w:pStyle w:val="ListBullet"/>
      </w:pPr>
      <w:r>
        <w:t>Same key + same payload → same response/result.</w:t>
      </w:r>
    </w:p>
    <w:p>
      <w:pPr>
        <w:pStyle w:val="ListBullet"/>
      </w:pPr>
      <w:r>
        <w:t>Same key + different payload → 409.</w:t>
      </w:r>
    </w:p>
    <w:p>
      <w:pPr>
        <w:pStyle w:val="ListBullet"/>
      </w:pPr>
      <w:r>
        <w:t>Carrier create call must have internal operation_id and retry-safe state machine.</w:t>
      </w:r>
    </w:p>
    <w:p>
      <w:pPr>
        <w:pStyle w:val="ListBullet"/>
      </w:pPr>
      <w:r>
        <w:t>If carrier timeout occurs after request transmission, adapter must reconcile before retry when duplicate creation is possible.</w:t>
      </w:r>
    </w:p>
    <w:p>
      <w:pPr>
        <w:pStyle w:val="Heading1"/>
      </w:pPr>
      <w:r>
        <w:t>7. Rate Engine algorithm</w:t>
      </w:r>
    </w:p>
    <w:p>
      <w:pPr>
        <w:pStyle w:val="ListBullet"/>
      </w:pPr>
      <w:r>
        <w:t>Validate shipment and tenant policy.</w:t>
      </w:r>
    </w:p>
    <w:p>
      <w:pPr>
        <w:pStyle w:val="ListBullet"/>
      </w:pPr>
      <w:r>
        <w:t>Resolve connected CarrierAccounts and allow/deny filters.</w:t>
      </w:r>
    </w:p>
    <w:p>
      <w:pPr>
        <w:pStyle w:val="ListBullet"/>
      </w:pPr>
      <w:r>
        <w:t>Fan-out async with per-carrier timeout and global deadline.</w:t>
      </w:r>
    </w:p>
    <w:p>
      <w:pPr>
        <w:pStyle w:val="ListBullet"/>
      </w:pPr>
      <w:r>
        <w:t>Normalize responses into RateOffer.</w:t>
      </w:r>
    </w:p>
    <w:p>
      <w:pPr>
        <w:pStyle w:val="ListBullet"/>
      </w:pPr>
      <w:r>
        <w:t>Add platform insurance/surcharges and compute Total Cost.</w:t>
      </w:r>
    </w:p>
    <w:p>
      <w:pPr>
        <w:pStyle w:val="ListBullet"/>
      </w:pPr>
      <w:r>
        <w:t>Calculate deadline_margin/lateness and eligibility.</w:t>
      </w:r>
    </w:p>
    <w:p>
      <w:pPr>
        <w:pStyle w:val="ListBullet"/>
      </w:pPr>
      <w:r>
        <w:t>Persist raw response reference for debugging with retention/security policy.</w:t>
      </w:r>
    </w:p>
    <w:p>
      <w:pPr>
        <w:pStyle w:val="ListBullet"/>
      </w:pPr>
      <w:r>
        <w:t>Return partial results immediately after global quote timeout.</w:t>
      </w:r>
    </w:p>
    <w:p>
      <w:pPr>
        <w:pStyle w:val="Heading1"/>
      </w:pPr>
      <w:r>
        <w:t>8. Routing Engine v1</w:t>
      </w:r>
    </w:p>
    <w:p>
      <w:pPr>
        <w:pStyle w:val="ListBullet"/>
      </w:pPr>
      <w:r>
        <w:t>Hard constraints evaluated before scoring.</w:t>
      </w:r>
    </w:p>
    <w:p>
      <w:pPr>
        <w:pStyle w:val="ListBullet"/>
      </w:pPr>
      <w:r>
        <w:t>cheapest = min Total Cost among eligible.</w:t>
      </w:r>
    </w:p>
    <w:p>
      <w:pPr>
        <w:pStyle w:val="ListBullet"/>
      </w:pPr>
      <w:r>
        <w:t>fastest = earliest ETA among eligible.</w:t>
      </w:r>
    </w:p>
    <w:p>
      <w:pPr>
        <w:pStyle w:val="ListBullet"/>
      </w:pPr>
      <w:r>
        <w:t>reliable = best reliability/risk metric among eligible.</w:t>
      </w:r>
    </w:p>
    <w:p>
      <w:pPr>
        <w:pStyle w:val="ListBullet"/>
      </w:pPr>
      <w:r>
        <w:t>optimal = versioned score/expected-loss model combining cost, ETA margin, on-time probability and risk; no user-visible weights.</w:t>
      </w:r>
    </w:p>
    <w:p>
      <w:pPr>
        <w:pStyle w:val="ListBullet"/>
      </w:pPr>
      <w:r>
        <w:t>Recommendation explanation generated from structured facts: deadline fit, cost delta, SLA delta, risk delta, confidence.</w:t>
      </w:r>
    </w:p>
    <w:p>
      <w:pPr>
        <w:pStyle w:val="ListBullet"/>
      </w:pPr>
      <w:r>
        <w:t>Low-data fallback uses carrier ETA + neutral reliability prior and low confidence.</w:t>
      </w:r>
    </w:p>
    <w:p>
      <w:pPr>
        <w:pStyle w:val="Heading1"/>
      </w:pPr>
      <w:r>
        <w:t>9. Carrier adapter technical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37"/>
            <w:vAlign w:val="top"/>
          </w:tcPr>
          <w:p>
            <w:r>
              <w:t>capabilities</w:t>
            </w:r>
          </w:p>
        </w:tc>
        <w:tc>
          <w:tcPr>
            <w:tcW w:type="dxa" w:w="3437"/>
            <w:vAlign w:val="top"/>
          </w:tcPr>
          <w:p>
            <w:r>
              <w:t>account</w:t>
            </w:r>
          </w:p>
        </w:tc>
        <w:tc>
          <w:tcPr>
            <w:tcW w:type="dxa" w:w="3437"/>
            <w:vAlign w:val="top"/>
          </w:tcPr>
          <w:p>
            <w:r>
              <w:t>Capability flags</w:t>
            </w:r>
          </w:p>
        </w:tc>
      </w:tr>
      <w:tr>
        <w:tc>
          <w:tcPr>
            <w:tcW w:type="dxa" w:w="3437"/>
            <w:vAlign w:val="top"/>
          </w:tcPr>
          <w:p>
            <w:r>
              <w:t>get_rates</w:t>
            </w:r>
          </w:p>
        </w:tc>
        <w:tc>
          <w:tcPr>
            <w:tcW w:type="dxa" w:w="3437"/>
            <w:vAlign w:val="top"/>
          </w:tcPr>
          <w:p>
            <w:r>
              <w:t>Normalized RateRequest</w:t>
            </w:r>
          </w:p>
        </w:tc>
        <w:tc>
          <w:tcPr>
            <w:tcW w:type="dxa" w:w="3437"/>
            <w:vAlign w:val="top"/>
          </w:tcPr>
          <w:p>
            <w:r>
              <w:t>RateOffer[]</w:t>
            </w:r>
          </w:p>
        </w:tc>
      </w:tr>
      <w:tr>
        <w:tc>
          <w:tcPr>
            <w:tcW w:type="dxa" w:w="3437"/>
            <w:vAlign w:val="top"/>
          </w:tcPr>
          <w:p>
            <w:r>
              <w:t>create_shipment</w:t>
            </w:r>
          </w:p>
        </w:tc>
        <w:tc>
          <w:tcPr>
            <w:tcW w:type="dxa" w:w="3437"/>
            <w:vAlign w:val="top"/>
          </w:tcPr>
          <w:p>
            <w:r>
              <w:t>Normalized shipment + selected offer</w:t>
            </w:r>
          </w:p>
        </w:tc>
        <w:tc>
          <w:tcPr>
            <w:tcW w:type="dxa" w:w="3437"/>
            <w:vAlign w:val="top"/>
          </w:tcPr>
          <w:p>
            <w:r>
              <w:t>carrier_id/tracking/docs</w:t>
            </w:r>
          </w:p>
        </w:tc>
      </w:tr>
      <w:tr>
        <w:tc>
          <w:tcPr>
            <w:tcW w:type="dxa" w:w="3437"/>
            <w:vAlign w:val="top"/>
          </w:tcPr>
          <w:p>
            <w:r>
              <w:t>cancel_shipment</w:t>
            </w:r>
          </w:p>
        </w:tc>
        <w:tc>
          <w:tcPr>
            <w:tcW w:type="dxa" w:w="3437"/>
            <w:vAlign w:val="top"/>
          </w:tcPr>
          <w:p>
            <w:r>
              <w:t>shipment</w:t>
            </w:r>
          </w:p>
        </w:tc>
        <w:tc>
          <w:tcPr>
            <w:tcW w:type="dxa" w:w="3437"/>
            <w:vAlign w:val="top"/>
          </w:tcPr>
          <w:p>
            <w:r>
              <w:t>result</w:t>
            </w:r>
          </w:p>
        </w:tc>
      </w:tr>
      <w:tr>
        <w:tc>
          <w:tcPr>
            <w:tcW w:type="dxa" w:w="3437"/>
            <w:vAlign w:val="top"/>
          </w:tcPr>
          <w:p>
            <w:r>
              <w:t>get_tracking</w:t>
            </w:r>
          </w:p>
        </w:tc>
        <w:tc>
          <w:tcPr>
            <w:tcW w:type="dxa" w:w="3437"/>
            <w:vAlign w:val="top"/>
          </w:tcPr>
          <w:p>
            <w:r>
              <w:t>shipment</w:t>
            </w:r>
          </w:p>
        </w:tc>
        <w:tc>
          <w:tcPr>
            <w:tcW w:type="dxa" w:w="3437"/>
            <w:vAlign w:val="top"/>
          </w:tcPr>
          <w:p>
            <w:r>
              <w:t>TrackingEvent[]</w:t>
            </w:r>
          </w:p>
        </w:tc>
      </w:tr>
      <w:tr>
        <w:tc>
          <w:tcPr>
            <w:tcW w:type="dxa" w:w="3437"/>
            <w:vAlign w:val="top"/>
          </w:tcPr>
          <w:p>
            <w:r>
              <w:t>get_documents</w:t>
            </w:r>
          </w:p>
        </w:tc>
        <w:tc>
          <w:tcPr>
            <w:tcW w:type="dxa" w:w="3437"/>
            <w:vAlign w:val="top"/>
          </w:tcPr>
          <w:p>
            <w:r>
              <w:t>shipment</w:t>
            </w:r>
          </w:p>
        </w:tc>
        <w:tc>
          <w:tcPr>
            <w:tcW w:type="dxa" w:w="3437"/>
            <w:vAlign w:val="top"/>
          </w:tcPr>
          <w:p>
            <w:r>
              <w:t>document refs</w:t>
            </w:r>
          </w:p>
        </w:tc>
      </w:tr>
      <w:tr>
        <w:tc>
          <w:tcPr>
            <w:tcW w:type="dxa" w:w="3437"/>
            <w:vAlign w:val="top"/>
          </w:tcPr>
          <w:p>
            <w:r>
              <w:t>health_check</w:t>
            </w:r>
          </w:p>
        </w:tc>
        <w:tc>
          <w:tcPr>
            <w:tcW w:type="dxa" w:w="3437"/>
            <w:vAlign w:val="top"/>
          </w:tcPr>
          <w:p>
            <w:r>
              <w:t>account</w:t>
            </w:r>
          </w:p>
        </w:tc>
        <w:tc>
          <w:tcPr>
            <w:tcW w:type="dxa" w:w="3437"/>
            <w:vAlign w:val="top"/>
          </w:tcPr>
          <w:p>
            <w:r>
              <w:t>health/latency</w:t>
            </w:r>
          </w:p>
        </w:tc>
      </w:tr>
      <w:tr>
        <w:tc>
          <w:tcPr>
            <w:tcW w:type="dxa" w:w="3437"/>
            <w:vAlign w:val="top"/>
          </w:tcPr>
          <w:p>
            <w:r>
              <w:t>normalize_error</w:t>
            </w:r>
          </w:p>
        </w:tc>
        <w:tc>
          <w:tcPr>
            <w:tcW w:type="dxa" w:w="3437"/>
            <w:vAlign w:val="top"/>
          </w:tcPr>
          <w:p>
            <w:r>
              <w:t>raw exception</w:t>
            </w:r>
          </w:p>
        </w:tc>
        <w:tc>
          <w:tcPr>
            <w:tcW w:type="dxa" w:w="3437"/>
            <w:vAlign w:val="top"/>
          </w:tcPr>
          <w:p>
            <w:r>
              <w:t>typed upstream error</w:t>
            </w:r>
          </w:p>
        </w:tc>
      </w:tr>
    </w:tbl>
    <w:p>
      <w:pPr>
        <w:pStyle w:val="Heading1"/>
      </w:pPr>
      <w:r>
        <w:t>10. Adapter implementation requirements</w:t>
      </w:r>
    </w:p>
    <w:p>
      <w:pPr>
        <w:pStyle w:val="ListBullet"/>
      </w:pPr>
      <w:r>
        <w:t>Per-carrier DTOs never leak outside adapter boundary.</w:t>
      </w:r>
    </w:p>
    <w:p>
      <w:pPr>
        <w:pStyle w:val="ListBullet"/>
      </w:pPr>
      <w:r>
        <w:t>Timeout/retry/circuit breaker configurable per carrier/method.</w:t>
      </w:r>
    </w:p>
    <w:p>
      <w:pPr>
        <w:pStyle w:val="ListBullet"/>
      </w:pPr>
      <w:r>
        <w:t>Metrics labels: carrier, method, outcome; do not label by tenant ID if cardinality becomes excessive.</w:t>
      </w:r>
    </w:p>
    <w:p>
      <w:pPr>
        <w:pStyle w:val="ListBullet"/>
      </w:pPr>
      <w:r>
        <w:t>Fixtures from real sanitized responses; contract tests.</w:t>
      </w:r>
    </w:p>
    <w:p>
      <w:pPr>
        <w:pStyle w:val="ListBullet"/>
      </w:pPr>
      <w:r>
        <w:t>Sandbox/mock support.</w:t>
      </w:r>
    </w:p>
    <w:p>
      <w:pPr>
        <w:pStyle w:val="ListBullet"/>
      </w:pPr>
      <w:r>
        <w:t>Adapter version included in technical metadata.</w:t>
      </w:r>
    </w:p>
    <w:p>
      <w:pPr>
        <w:pStyle w:val="ListBullet"/>
      </w:pPr>
      <w:r>
        <w:t>Reference-data sync jobs for cities/terminals/services where needed.</w:t>
      </w:r>
    </w:p>
    <w:p>
      <w:pPr>
        <w:pStyle w:val="Heading1"/>
      </w:pPr>
      <w:r>
        <w:t>11. Adapter specifics for first 5 carriers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MVP implementation notes</w:t>
            </w:r>
          </w:p>
        </w:tc>
      </w:tr>
      <w:tr>
        <w:tc>
          <w:tcPr>
            <w:tcW w:type="dxa" w:w="5156"/>
            <w:vAlign w:val="top"/>
          </w:tcPr>
          <w:p>
            <w:r>
              <w:t>Major Express</w:t>
            </w:r>
          </w:p>
        </w:tc>
        <w:tc>
          <w:tcPr>
            <w:tcW w:type="dxa" w:w="5156"/>
            <w:vAlign w:val="top"/>
          </w:tcPr>
          <w:p>
            <w:r>
              <w:t>SOAP client from WSDL. Basic Auth. Implement city dictionaries, Calculator1 for contract rate, CreateWaybill for express; LTL as separate capability/sub-adapter. Preserve RequestID GUID for idempotency/correlation.</w:t>
            </w:r>
          </w:p>
        </w:tc>
      </w:tr>
      <w:tr>
        <w:tc>
          <w:tcPr>
            <w:tcW w:type="dxa" w:w="5156"/>
            <w:vAlign w:val="top"/>
          </w:tcPr>
          <w:p>
            <w:r>
              <w:t>CDEK</w:t>
            </w:r>
          </w:p>
        </w:tc>
        <w:tc>
          <w:tcPr>
            <w:tcW w:type="dxa" w:w="5156"/>
            <w:vAlign w:val="top"/>
          </w:tcPr>
          <w:p>
            <w:r>
              <w:t>Use official developer API credentials. Implement auth token lifecycle, calculator, order/waybill, tracking/status, documents. Exact endpoint schemas pinned to tested API version during Sprint 2.</w:t>
            </w:r>
          </w:p>
        </w:tc>
      </w:tr>
      <w:tr>
        <w:tc>
          <w:tcPr>
            <w:tcW w:type="dxa" w:w="5156"/>
            <w:vAlign w:val="top"/>
          </w:tcPr>
          <w:p>
            <w:r>
              <w:t>Деловые Линии</w:t>
            </w:r>
          </w:p>
        </w:tc>
        <w:tc>
          <w:tcPr>
            <w:tcW w:type="dxa" w:w="5156"/>
            <w:vAlign w:val="top"/>
          </w:tcPr>
          <w:p>
            <w:r>
              <w:t>Implement calculator /v2/calculator, location/terminal mapping, authenticated shipment/tracking methods required by pilot. Treat LTL service/additional services as structured components.</w:t>
            </w:r>
          </w:p>
        </w:tc>
      </w:tr>
      <w:tr>
        <w:tc>
          <w:tcPr>
            <w:tcW w:type="dxa" w:w="5156"/>
            <w:vAlign w:val="top"/>
          </w:tcPr>
          <w:p>
            <w:r>
              <w:t>ПЭК</w:t>
            </w:r>
          </w:p>
        </w:tc>
        <w:tc>
          <w:tcPr>
            <w:tcW w:type="dxa" w:w="5156"/>
            <w:vAlign w:val="top"/>
          </w:tcPr>
          <w:p>
            <w:r>
              <w:t>Use public calculator only for non-contract preview if desired; authenticated cabinet API required for client tariff, shipment and tracking. Separate public vs contract source explicitly.</w:t>
            </w:r>
          </w:p>
        </w:tc>
      </w:tr>
      <w:tr>
        <w:tc>
          <w:tcPr>
            <w:tcW w:type="dxa" w:w="5156"/>
            <w:vAlign w:val="top"/>
          </w:tcPr>
          <w:p>
            <w:r>
              <w:t>Яндекс Доставка</w:t>
            </w:r>
          </w:p>
        </w:tc>
        <w:tc>
          <w:tcPr>
            <w:tcW w:type="dxa" w:w="5156"/>
            <w:vAlign w:val="top"/>
          </w:tcPr>
          <w:p>
            <w:r>
              <w:t>Bearer auth. Separate flow profiles for express/same-day and Russia/other-day if endpoints/statuses differ. Quote/offer → create claim/order → accept/confirm → track. Do not force this carrier into unsupported long-haul use cases.</w:t>
            </w:r>
          </w:p>
        </w:tc>
      </w:tr>
    </w:tbl>
    <w:p>
      <w:pPr>
        <w:pStyle w:val="Heading1"/>
      </w:pPr>
      <w:r>
        <w:t>12. Tracking state machine</w:t>
      </w:r>
    </w:p>
    <w:p>
      <w:pPr>
        <w:pStyle w:val="ListBullet"/>
      </w:pPr>
      <w:r>
        <w:t>Inbound webhook/poll result → dedup → raw event store/reference → normalize → append TrackingEvent → update Shipment projection → emit Logistics OS webhook.</w:t>
      </w:r>
    </w:p>
    <w:p>
      <w:pPr>
        <w:pStyle w:val="ListBullet"/>
      </w:pPr>
      <w:r>
        <w:t>Out-of-order events accepted; projection uses event time + transition rules.</w:t>
      </w:r>
    </w:p>
    <w:p>
      <w:pPr>
        <w:pStyle w:val="ListBullet"/>
      </w:pPr>
      <w:r>
        <w:t>Unknown status maps to Exception/unknown metadata, not data loss.</w:t>
      </w:r>
    </w:p>
    <w:p>
      <w:pPr>
        <w:pStyle w:val="ListBullet"/>
      </w:pPr>
      <w:r>
        <w:t>Delivered creates/updates DeliveryOutcome.</w:t>
      </w:r>
    </w:p>
    <w:p>
      <w:pPr>
        <w:pStyle w:val="Heading1"/>
      </w:pPr>
      <w:r>
        <w:t>13. Carrier Intelligence aggregation</w:t>
      </w:r>
    </w:p>
    <w:p>
      <w:pPr>
        <w:pStyle w:val="ListBullet"/>
      </w:pPr>
      <w:r>
        <w:t>Nightly/incremental aggregates by carrier/service/lane/time window.</w:t>
      </w:r>
    </w:p>
    <w:p>
      <w:pPr>
        <w:pStyle w:val="ListBullet"/>
      </w:pPr>
      <w:r>
        <w:t>on_time_probability must be calibrated from observed deadline outcomes, not simple marketing SLA.</w:t>
      </w:r>
    </w:p>
    <w:p>
      <w:pPr>
        <w:pStyle w:val="ListBullet"/>
      </w:pPr>
      <w:r>
        <w:t>confidence considers sample size and recency.</w:t>
      </w:r>
    </w:p>
    <w:p>
      <w:pPr>
        <w:pStyle w:val="ListBullet"/>
      </w:pPr>
      <w:r>
        <w:t>Formula/version stored with each score.</w:t>
      </w:r>
    </w:p>
    <w:p>
      <w:pPr>
        <w:pStyle w:val="ListBullet"/>
      </w:pPr>
      <w:r>
        <w:t>No ML dependency for MVP; model interface should allow replacement later.</w:t>
      </w:r>
    </w:p>
    <w:p>
      <w:pPr>
        <w:pStyle w:val="Heading1"/>
      </w:pPr>
      <w:r>
        <w:t>14. Observability / SLO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Metric/SLO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Target/behavior</w:t>
            </w:r>
          </w:p>
        </w:tc>
      </w:tr>
      <w:tr>
        <w:tc>
          <w:tcPr>
            <w:tcW w:type="dxa" w:w="5156"/>
            <w:vAlign w:val="top"/>
          </w:tcPr>
          <w:p>
            <w:r>
              <w:t>Internal API availability</w:t>
            </w:r>
          </w:p>
        </w:tc>
        <w:tc>
          <w:tcPr>
            <w:tcW w:type="dxa" w:w="5156"/>
            <w:vAlign w:val="top"/>
          </w:tcPr>
          <w:p>
            <w:r>
              <w:t>Target 99.9% after pilot hardening.</w:t>
            </w:r>
          </w:p>
        </w:tc>
      </w:tr>
      <w:tr>
        <w:tc>
          <w:tcPr>
            <w:tcW w:type="dxa" w:w="5156"/>
            <w:vAlign w:val="top"/>
          </w:tcPr>
          <w:p>
            <w:r>
              <w:t>Rate Shopping</w:t>
            </w:r>
          </w:p>
        </w:tc>
        <w:tc>
          <w:tcPr>
            <w:tcW w:type="dxa" w:w="5156"/>
            <w:vAlign w:val="top"/>
          </w:tcPr>
          <w:p>
            <w:r>
              <w:t>Partial response preferred over global failure.</w:t>
            </w:r>
          </w:p>
        </w:tc>
      </w:tr>
      <w:tr>
        <w:tc>
          <w:tcPr>
            <w:tcW w:type="dxa" w:w="5156"/>
            <w:vAlign w:val="top"/>
          </w:tcPr>
          <w:p>
            <w:r>
              <w:t>Carrier call metrics</w:t>
            </w:r>
          </w:p>
        </w:tc>
        <w:tc>
          <w:tcPr>
            <w:tcW w:type="dxa" w:w="5156"/>
            <w:vAlign w:val="top"/>
          </w:tcPr>
          <w:p>
            <w:r>
              <w:t>latency, timeout, 4xx/5xx, business errors.</w:t>
            </w:r>
          </w:p>
        </w:tc>
      </w:tr>
      <w:tr>
        <w:tc>
          <w:tcPr>
            <w:tcW w:type="dxa" w:w="5156"/>
            <w:vAlign w:val="top"/>
          </w:tcPr>
          <w:p>
            <w:r>
              <w:t>Queue</w:t>
            </w:r>
          </w:p>
        </w:tc>
        <w:tc>
          <w:tcPr>
            <w:tcW w:type="dxa" w:w="5156"/>
            <w:vAlign w:val="top"/>
          </w:tcPr>
          <w:p>
            <w:r>
              <w:t>depth/age alerts.</w:t>
            </w:r>
          </w:p>
        </w:tc>
      </w:tr>
      <w:tr>
        <w:tc>
          <w:tcPr>
            <w:tcW w:type="dxa" w:w="5156"/>
            <w:vAlign w:val="top"/>
          </w:tcPr>
          <w:p>
            <w:r>
              <w:t>Tracking lag</w:t>
            </w:r>
          </w:p>
        </w:tc>
        <w:tc>
          <w:tcPr>
            <w:tcW w:type="dxa" w:w="5156"/>
            <w:vAlign w:val="top"/>
          </w:tcPr>
          <w:p>
            <w:r>
              <w:t>alert when webhook/poll processing delayed.</w:t>
            </w:r>
          </w:p>
        </w:tc>
      </w:tr>
      <w:tr>
        <w:tc>
          <w:tcPr>
            <w:tcW w:type="dxa" w:w="5156"/>
            <w:vAlign w:val="top"/>
          </w:tcPr>
          <w:p>
            <w:r>
              <w:t>Audit</w:t>
            </w:r>
          </w:p>
        </w:tc>
        <w:tc>
          <w:tcPr>
            <w:tcW w:type="dxa" w:w="5156"/>
            <w:vAlign w:val="top"/>
          </w:tcPr>
          <w:p>
            <w:r>
              <w:t>all sensitive configuration and decision overrides.</w:t>
            </w:r>
          </w:p>
        </w:tc>
      </w:tr>
    </w:tbl>
    <w:p>
      <w:pPr>
        <w:pStyle w:val="Heading1"/>
      </w:pPr>
      <w:r>
        <w:t>15. CI/CD и environments</w:t>
      </w:r>
    </w:p>
    <w:p>
      <w:pPr>
        <w:pStyle w:val="ListBullet"/>
      </w:pPr>
      <w:r>
        <w:t>PR: lint, type checks, unit, DB migration check, OpenAPI validation, adapter contract tests.</w:t>
      </w:r>
    </w:p>
    <w:p>
      <w:pPr>
        <w:pStyle w:val="ListBullet"/>
      </w:pPr>
      <w:r>
        <w:t>Stage deploy automatically after main; Prod controlled release.</w:t>
      </w:r>
    </w:p>
    <w:p>
      <w:pPr>
        <w:pStyle w:val="ListBullet"/>
      </w:pPr>
      <w:r>
        <w:t>DB migrations backward-compatible where possible; rollback/forward-fix procedure.</w:t>
      </w:r>
    </w:p>
    <w:p>
      <w:pPr>
        <w:pStyle w:val="ListBullet"/>
      </w:pPr>
      <w:r>
        <w:t>Feature flags per carrier and tenant.</w:t>
      </w:r>
    </w:p>
    <w:p>
      <w:pPr>
        <w:pStyle w:val="ListBullet"/>
      </w:pPr>
      <w:r>
        <w:t>Secrets injected by environment/secret manager.</w:t>
      </w:r>
    </w:p>
    <w:p>
      <w:pPr>
        <w:pStyle w:val="ListBullet"/>
      </w:pPr>
      <w:r>
        <w:t>Smoke tests after deploy.</w:t>
      </w:r>
    </w:p>
    <w:p>
      <w:pPr>
        <w:pStyle w:val="Heading1"/>
      </w:pPr>
      <w:r>
        <w:t>16.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Required tests</w:t>
            </w:r>
          </w:p>
        </w:tc>
      </w:tr>
      <w:tr>
        <w:tc>
          <w:tcPr>
            <w:tcW w:type="dxa" w:w="5156"/>
            <w:vAlign w:val="top"/>
          </w:tcPr>
          <w:p>
            <w:r>
              <w:t>Unit</w:t>
            </w:r>
          </w:p>
        </w:tc>
        <w:tc>
          <w:tcPr>
            <w:tcW w:type="dxa" w:w="5156"/>
            <w:vAlign w:val="top"/>
          </w:tcPr>
          <w:p>
            <w:r>
              <w:t>Money, insurance, deadline, scoring, status mapping.</w:t>
            </w:r>
          </w:p>
        </w:tc>
      </w:tr>
      <w:tr>
        <w:tc>
          <w:tcPr>
            <w:tcW w:type="dxa" w:w="5156"/>
            <w:vAlign w:val="top"/>
          </w:tcPr>
          <w:p>
            <w:r>
              <w:t>DB</w:t>
            </w:r>
          </w:p>
        </w:tc>
        <w:tc>
          <w:tcPr>
            <w:tcW w:type="dxa" w:w="5156"/>
            <w:vAlign w:val="top"/>
          </w:tcPr>
          <w:p>
            <w:r>
              <w:t>Constraints, tenant isolation, migrations.</w:t>
            </w:r>
          </w:p>
        </w:tc>
      </w:tr>
      <w:tr>
        <w:tc>
          <w:tcPr>
            <w:tcW w:type="dxa" w:w="5156"/>
            <w:vAlign w:val="top"/>
          </w:tcPr>
          <w:p>
            <w:r>
              <w:t>Adapter contract</w:t>
            </w:r>
          </w:p>
        </w:tc>
        <w:tc>
          <w:tcPr>
            <w:tcW w:type="dxa" w:w="5156"/>
            <w:vAlign w:val="top"/>
          </w:tcPr>
          <w:p>
            <w:r>
              <w:t>Sanitized fixtures + error mapping + timeouts.</w:t>
            </w:r>
          </w:p>
        </w:tc>
      </w:tr>
      <w:tr>
        <w:tc>
          <w:tcPr>
            <w:tcW w:type="dxa" w:w="5156"/>
            <w:vAlign w:val="top"/>
          </w:tcPr>
          <w:p>
            <w:r>
              <w:t>Integration</w:t>
            </w:r>
          </w:p>
        </w:tc>
        <w:tc>
          <w:tcPr>
            <w:tcW w:type="dxa" w:w="5156"/>
            <w:vAlign w:val="top"/>
          </w:tcPr>
          <w:p>
            <w:r>
              <w:t>Postgres/Redis/worker + carrier mocks.</w:t>
            </w:r>
          </w:p>
        </w:tc>
      </w:tr>
      <w:tr>
        <w:tc>
          <w:tcPr>
            <w:tcW w:type="dxa" w:w="5156"/>
            <w:vAlign w:val="top"/>
          </w:tcPr>
          <w:p>
            <w:r>
              <w:t>E2E</w:t>
            </w:r>
          </w:p>
        </w:tc>
        <w:tc>
          <w:tcPr>
            <w:tcW w:type="dxa" w:w="5156"/>
            <w:vAlign w:val="top"/>
          </w:tcPr>
          <w:p>
            <w:r>
              <w:t>Rate → recommendation → decision → shipment → tracking.</w:t>
            </w:r>
          </w:p>
        </w:tc>
      </w:tr>
      <w:tr>
        <w:tc>
          <w:tcPr>
            <w:tcW w:type="dxa" w:w="5156"/>
            <w:vAlign w:val="top"/>
          </w:tcPr>
          <w:p>
            <w:r>
              <w:t>Resilience</w:t>
            </w:r>
          </w:p>
        </w:tc>
        <w:tc>
          <w:tcPr>
            <w:tcW w:type="dxa" w:w="5156"/>
            <w:vAlign w:val="top"/>
          </w:tcPr>
          <w:p>
            <w:r>
              <w:t>1–4 carriers fail; partial result remains.</w:t>
            </w:r>
          </w:p>
        </w:tc>
      </w:tr>
      <w:tr>
        <w:tc>
          <w:tcPr>
            <w:tcW w:type="dxa" w:w="5156"/>
            <w:vAlign w:val="top"/>
          </w:tcPr>
          <w:p>
            <w:r>
              <w:t>Idempotency</w:t>
            </w:r>
          </w:p>
        </w:tc>
        <w:tc>
          <w:tcPr>
            <w:tcW w:type="dxa" w:w="5156"/>
            <w:vAlign w:val="top"/>
          </w:tcPr>
          <w:p>
            <w:r>
              <w:t>Network retry does not duplicate shipment.</w:t>
            </w:r>
          </w:p>
        </w:tc>
      </w:tr>
      <w:tr>
        <w:tc>
          <w:tcPr>
            <w:tcW w:type="dxa" w:w="5156"/>
            <w:vAlign w:val="top"/>
          </w:tcPr>
          <w:p>
            <w:r>
              <w:t>Security</w:t>
            </w:r>
          </w:p>
        </w:tc>
        <w:tc>
          <w:tcPr>
            <w:tcW w:type="dxa" w:w="5156"/>
            <w:vAlign w:val="top"/>
          </w:tcPr>
          <w:p>
            <w:r>
              <w:t>RBAC, tenant breakout attempts, secret redaction.</w:t>
            </w:r>
          </w:p>
        </w:tc>
      </w:tr>
      <w:tr>
        <w:tc>
          <w:tcPr>
            <w:tcW w:type="dxa" w:w="5156"/>
            <w:vAlign w:val="top"/>
          </w:tcPr>
          <w:p>
            <w:r>
              <w:t>Load</w:t>
            </w:r>
          </w:p>
        </w:tc>
        <w:tc>
          <w:tcPr>
            <w:tcW w:type="dxa" w:w="5156"/>
            <w:vAlign w:val="top"/>
          </w:tcPr>
          <w:p>
            <w:r>
              <w:t>Pilot concurrency for rate fan-out and tracking ingestion.</w:t>
            </w:r>
          </w:p>
        </w:tc>
      </w:tr>
    </w:tbl>
    <w:p>
      <w:pPr>
        <w:pStyle w:val="Heading1"/>
      </w:pPr>
      <w:r>
        <w:t>17. Sprint plan to first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5156"/>
            <w:vAlign w:val="top"/>
          </w:tcPr>
          <w:p>
            <w:r>
              <w:t>0 / 1 week</w:t>
            </w:r>
          </w:p>
        </w:tc>
        <w:tc>
          <w:tcPr>
            <w:tcW w:type="dxa" w:w="5156"/>
            <w:vAlign w:val="top"/>
          </w:tcPr>
          <w:p>
            <w:r>
              <w:t>Repo, CI, environments, auth/tenant, DB migrations, OpenAPI, mocks.</w:t>
            </w:r>
          </w:p>
        </w:tc>
      </w:tr>
      <w:tr>
        <w:tc>
          <w:tcPr>
            <w:tcW w:type="dxa" w:w="5156"/>
            <w:vAlign w:val="top"/>
          </w:tcPr>
          <w:p>
            <w:r>
              <w:t>1 / 2 weeks</w:t>
            </w:r>
          </w:p>
        </w:tc>
        <w:tc>
          <w:tcPr>
            <w:tcW w:type="dxa" w:w="5156"/>
            <w:vAlign w:val="top"/>
          </w:tcPr>
          <w:p>
            <w:r>
              <w:t>Rate core + Major Express adapter + second REST adapter; frontend mock integration.</w:t>
            </w:r>
          </w:p>
        </w:tc>
      </w:tr>
      <w:tr>
        <w:tc>
          <w:tcPr>
            <w:tcW w:type="dxa" w:w="5156"/>
            <w:vAlign w:val="top"/>
          </w:tcPr>
          <w:p>
            <w:r>
              <w:t>2 / 2 weeks</w:t>
            </w:r>
          </w:p>
        </w:tc>
        <w:tc>
          <w:tcPr>
            <w:tcW w:type="dxa" w:w="5156"/>
            <w:vAlign w:val="top"/>
          </w:tcPr>
          <w:p>
            <w:r>
              <w:t>Shipment create + tracking + CDEK/DL adapters.</w:t>
            </w:r>
          </w:p>
        </w:tc>
      </w:tr>
      <w:tr>
        <w:tc>
          <w:tcPr>
            <w:tcW w:type="dxa" w:w="5156"/>
            <w:vAlign w:val="top"/>
          </w:tcPr>
          <w:p>
            <w:r>
              <w:t>3 / 2 weeks</w:t>
            </w:r>
          </w:p>
        </w:tc>
        <w:tc>
          <w:tcPr>
            <w:tcW w:type="dxa" w:w="5156"/>
            <w:vAlign w:val="top"/>
          </w:tcPr>
          <w:p>
            <w:r>
              <w:t>ПЭК/Яндекс, Rate Shopping full cost/deadline, partial failure.</w:t>
            </w:r>
          </w:p>
        </w:tc>
      </w:tr>
      <w:tr>
        <w:tc>
          <w:tcPr>
            <w:tcW w:type="dxa" w:w="5156"/>
            <w:vAlign w:val="top"/>
          </w:tcPr>
          <w:p>
            <w:r>
              <w:t>4 / 2 weeks</w:t>
            </w:r>
          </w:p>
        </w:tc>
        <w:tc>
          <w:tcPr>
            <w:tcW w:type="dxa" w:w="5156"/>
            <w:vAlign w:val="top"/>
          </w:tcPr>
          <w:p>
            <w:r>
              <w:t>Routing strategies, Decision History, override, dashboard baseline.</w:t>
            </w:r>
          </w:p>
        </w:tc>
      </w:tr>
      <w:tr>
        <w:tc>
          <w:tcPr>
            <w:tcW w:type="dxa" w:w="5156"/>
            <w:vAlign w:val="top"/>
          </w:tcPr>
          <w:p>
            <w:r>
              <w:t>5 / 2 weeks</w:t>
            </w:r>
          </w:p>
        </w:tc>
        <w:tc>
          <w:tcPr>
            <w:tcW w:type="dxa" w:w="5156"/>
            <w:vAlign w:val="top"/>
          </w:tcPr>
          <w:p>
            <w:r>
              <w:t>Pilot hardening, observability, RBAC, security, E2E/load, data quality.</w:t>
            </w:r>
          </w:p>
        </w:tc>
      </w:tr>
    </w:tbl>
    <w:p>
      <w:pPr>
        <w:pStyle w:val="Heading1"/>
      </w:pPr>
      <w:r>
        <w:t>18. Backend Definition of Done для старта пилота</w:t>
      </w:r>
    </w:p>
    <w:p>
      <w:pPr>
        <w:pStyle w:val="ListBullet"/>
      </w:pPr>
      <w:r>
        <w:t>OpenAPI freeze для P0 endpoints.</w:t>
      </w:r>
    </w:p>
    <w:p>
      <w:pPr>
        <w:pStyle w:val="ListBullet"/>
      </w:pPr>
      <w:r>
        <w:t>5 adapters подключены минимум на required pilot capabilities либо явно feature-flagged, если доступ credentials задержан.</w:t>
      </w:r>
    </w:p>
    <w:p>
      <w:pPr>
        <w:pStyle w:val="ListBullet"/>
      </w:pPr>
      <w:r>
        <w:t>Quote/Decision/Shipment idempotency проверена.</w:t>
      </w:r>
    </w:p>
    <w:p>
      <w:pPr>
        <w:pStyle w:val="ListBullet"/>
      </w:pPr>
      <w:r>
        <w:t>Immutable decision snapshot реализован.</w:t>
      </w:r>
    </w:p>
    <w:p>
      <w:pPr>
        <w:pStyle w:val="ListBullet"/>
      </w:pPr>
      <w:r>
        <w:t>Tenant isolation security tests green.</w:t>
      </w:r>
    </w:p>
    <w:p>
      <w:pPr>
        <w:pStyle w:val="ListBullet"/>
      </w:pPr>
      <w:r>
        <w:t>Partial failure и stale quote обработаны.</w:t>
      </w:r>
    </w:p>
    <w:p>
      <w:pPr>
        <w:pStyle w:val="ListBullet"/>
      </w:pPr>
      <w:r>
        <w:t>Tracking normalization и outbound webhooks работают.</w:t>
      </w:r>
    </w:p>
    <w:p>
      <w:pPr>
        <w:pStyle w:val="ListBullet"/>
      </w:pPr>
      <w:r>
        <w:t>Metrics/logs/audit/backups/restore documented.</w:t>
      </w:r>
    </w:p>
    <w:p>
      <w:pPr>
        <w:pStyle w:val="ListBullet"/>
      </w:pPr>
      <w:r>
        <w:t>Stage E2E green; pilot runbook готов.</w:t>
      </w:r>
    </w:p>
    <w:p>
      <w:pPr>
        <w:pStyle w:val="Heading1"/>
      </w:pPr>
      <w:r>
        <w:t>Источники по API перевозчиков</w:t>
      </w:r>
    </w:p>
    <w:p>
      <w:r>
        <w:t>Источники используются для фиксации возможностей интеграции. Конкретные поля и методы должны быть повторно проверены разработчиком при подключении боевых учетных данных, так как API перевозчиков могут изменяться.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URL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Что подтверждает</w:t>
            </w:r>
          </w:p>
        </w:tc>
      </w:tr>
      <w:tr>
        <w:tc>
          <w:tcPr>
            <w:tcW w:type="dxa" w:w="3437"/>
            <w:vAlign w:val="top"/>
          </w:tcPr>
          <w:p>
            <w:r>
              <w:t>Major Express developer wiki</w:t>
            </w:r>
          </w:p>
        </w:tc>
        <w:tc>
          <w:tcPr>
            <w:tcW w:type="dxa" w:w="3437"/>
            <w:vAlign w:val="top"/>
          </w:tcPr>
          <w:p>
            <w:r>
              <w:t>https://developers.major-express.ru/web-servisy-2/</w:t>
            </w:r>
          </w:p>
        </w:tc>
        <w:tc>
          <w:tcPr>
            <w:tcW w:type="dxa" w:w="3437"/>
            <w:vAlign w:val="top"/>
          </w:tcPr>
          <w:p>
            <w:r>
              <w:t>Клиентские веб-сервисы для экспресс-доставки и сборных грузов; SOAP/WSDL, методы расчета, создания накладной и справочники.</w:t>
            </w:r>
          </w:p>
        </w:tc>
      </w:tr>
      <w:tr>
        <w:tc>
          <w:tcPr>
            <w:tcW w:type="dxa" w:w="3437"/>
            <w:vAlign w:val="top"/>
          </w:tcPr>
          <w:p>
            <w:r>
              <w:t>Major Express Calculator1</w:t>
            </w:r>
          </w:p>
        </w:tc>
        <w:tc>
          <w:tcPr>
            <w:tcW w:type="dxa" w:w="3437"/>
            <w:vAlign w:val="top"/>
          </w:tcPr>
          <w:p>
            <w:r>
              <w:t>https://developers.major-express.ru/web-servisy-2/web-servis-klientskij/ekspress-dostavka/metody/prochie/kalkulyator-stoimostej-i-srokov-s-uchetom-skidok-klienta-s-ukazaniem-parametrov-mest/</w:t>
            </w:r>
          </w:p>
        </w:tc>
        <w:tc>
          <w:tcPr>
            <w:tcW w:type="dxa" w:w="3437"/>
            <w:vAlign w:val="top"/>
          </w:tcPr>
          <w:p>
            <w:r>
              <w:t>Расчет стоимости и срока с учетом договора клиента и параметров мест.</w:t>
            </w:r>
          </w:p>
        </w:tc>
      </w:tr>
      <w:tr>
        <w:tc>
          <w:tcPr>
            <w:tcW w:type="dxa" w:w="3437"/>
            <w:vAlign w:val="top"/>
          </w:tcPr>
          <w:p>
            <w:r>
              <w:t>CDEK Developers</w:t>
            </w:r>
          </w:p>
        </w:tc>
        <w:tc>
          <w:tcPr>
            <w:tcW w:type="dxa" w:w="3437"/>
            <w:vAlign w:val="top"/>
          </w:tcPr>
          <w:p>
            <w:r>
              <w:t>https://developer.cdek.ru/</w:t>
            </w:r>
          </w:p>
        </w:tc>
        <w:tc>
          <w:tcPr>
            <w:tcW w:type="dxa" w:w="3437"/>
            <w:vAlign w:val="top"/>
          </w:tcPr>
          <w:p>
            <w:r>
              <w:t>Официальная платформа интеграции СДЭК; расчет, накладные, статусы, документы и интеграционные сценарии.</w:t>
            </w:r>
          </w:p>
        </w:tc>
      </w:tr>
      <w:tr>
        <w:tc>
          <w:tcPr>
            <w:tcW w:type="dxa" w:w="3437"/>
            <w:vAlign w:val="top"/>
          </w:tcPr>
          <w:p>
            <w:r>
              <w:t>Деловые Линии API</w:t>
            </w:r>
          </w:p>
        </w:tc>
        <w:tc>
          <w:tcPr>
            <w:tcW w:type="dxa" w:w="3437"/>
            <w:vAlign w:val="top"/>
          </w:tcPr>
          <w:p>
            <w:r>
              <w:t>https://dev.dellin.ru/api/</w:t>
            </w:r>
          </w:p>
        </w:tc>
        <w:tc>
          <w:tcPr>
            <w:tcW w:type="dxa" w:w="3437"/>
            <w:vAlign w:val="top"/>
          </w:tcPr>
          <w:p>
            <w:r>
              <w:t>Официальная документация API.</w:t>
            </w:r>
          </w:p>
        </w:tc>
      </w:tr>
      <w:tr>
        <w:tc>
          <w:tcPr>
            <w:tcW w:type="dxa" w:w="3437"/>
            <w:vAlign w:val="top"/>
          </w:tcPr>
          <w:p>
            <w:r>
              <w:t>Деловые Линии Calculator</w:t>
            </w:r>
          </w:p>
        </w:tc>
        <w:tc>
          <w:tcPr>
            <w:tcW w:type="dxa" w:w="3437"/>
            <w:vAlign w:val="top"/>
          </w:tcPr>
          <w:p>
            <w:r>
              <w:t>https://dev.dellin.ru/api/examples/calculation/</w:t>
            </w:r>
          </w:p>
        </w:tc>
        <w:tc>
          <w:tcPr>
            <w:tcW w:type="dxa" w:w="3437"/>
            <w:vAlign w:val="top"/>
          </w:tcPr>
          <w:p>
            <w:r>
              <w:t>Расчет стоимости/сроков через API.</w:t>
            </w:r>
          </w:p>
        </w:tc>
      </w:tr>
      <w:tr>
        <w:tc>
          <w:tcPr>
            <w:tcW w:type="dxa" w:w="3437"/>
            <w:vAlign w:val="top"/>
          </w:tcPr>
          <w:p>
            <w:r>
              <w:t>ПЭК Public API</w:t>
            </w:r>
          </w:p>
        </w:tc>
        <w:tc>
          <w:tcPr>
            <w:tcW w:type="dxa" w:w="3437"/>
            <w:vAlign w:val="top"/>
          </w:tcPr>
          <w:p>
            <w:r>
              <w:t>https://pecom.ru/business/developers/api_public/</w:t>
            </w:r>
          </w:p>
        </w:tc>
        <w:tc>
          <w:tcPr>
            <w:tcW w:type="dxa" w:w="3437"/>
            <w:vAlign w:val="top"/>
          </w:tcPr>
          <w:p>
            <w:r>
              <w:t>Публичный расчет стоимости и дополнительных услуг; расширенные функции через API личного кабинета.</w:t>
            </w:r>
          </w:p>
        </w:tc>
      </w:tr>
      <w:tr>
        <w:tc>
          <w:tcPr>
            <w:tcW w:type="dxa" w:w="3437"/>
            <w:vAlign w:val="top"/>
          </w:tcPr>
          <w:p>
            <w:r>
              <w:t>ПЭК Calculator API</w:t>
            </w:r>
          </w:p>
        </w:tc>
        <w:tc>
          <w:tcPr>
            <w:tcW w:type="dxa" w:w="3437"/>
            <w:vAlign w:val="top"/>
          </w:tcPr>
          <w:p>
            <w:r>
              <w:t>https://test-kabinet.pecom.ru/preweb/api/v1/help/calculator</w:t>
            </w:r>
          </w:p>
        </w:tc>
        <w:tc>
          <w:tcPr>
            <w:tcW w:type="dxa" w:w="3437"/>
            <w:vAlign w:val="top"/>
          </w:tcPr>
          <w:p>
            <w:r>
              <w:t>Расчет стоимости и сроков для зарегистрированных пользователей.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API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</w:t>
            </w:r>
          </w:p>
        </w:tc>
        <w:tc>
          <w:tcPr>
            <w:tcW w:type="dxa" w:w="3437"/>
            <w:vAlign w:val="top"/>
          </w:tcPr>
          <w:p>
            <w:r>
              <w:t>HTTP API управления доставкой.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quickstart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https://yandex.com/support/delivery-profile/ru/api/express/quickstart</w:t>
            </w:r>
          </w:p>
        </w:tc>
        <w:tc>
          <w:tcPr>
            <w:tcW w:type="dxa" w:w="3437"/>
            <w:vAlign w:val="top"/>
          </w:tcPr>
          <w:p>
            <w:r>
              <w:t>Расчет, создание, подтверждение и отслеживание заказа.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по России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https://yandex.com/support/delivery-profile/ru/api/other-day/</w:t>
            </w:r>
          </w:p>
        </w:tc>
        <w:tc>
          <w:tcPr>
            <w:tcW w:type="dxa" w:w="3437"/>
            <w:vAlign w:val="top"/>
          </w:tcPr>
          <w:p>
            <w:r>
              <w:t>API доставки по России, тестовый и боевой контуры.</w:t>
            </w:r>
          </w:p>
        </w:tc>
      </w:tr>
    </w:tbl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