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B548AF" w:rsidRDefault="00B548AF" w:rsidP="001900A2">
      <w:pPr>
        <w:spacing w:before="120" w:after="120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77777777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  <w:r w:rsidR="00ED1159" w:rsidRPr="001900A2">
        <w:rPr>
          <w:b/>
          <w:sz w:val="48"/>
          <w:szCs w:val="48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proofErr w:type="spellStart"/>
      <w:r w:rsidR="00E4784F">
        <w:rPr>
          <w:lang w:val="ru-RU"/>
        </w:rPr>
        <w:t>препоръчителен</w:t>
      </w:r>
      <w:proofErr w:type="spellEnd"/>
      <w:r w:rsidR="00E4784F">
        <w:rPr>
          <w:lang w:val="ru-RU"/>
        </w:rPr>
        <w:t xml:space="preserve"> </w:t>
      </w:r>
      <w:proofErr w:type="spellStart"/>
      <w:r>
        <w:rPr>
          <w:lang w:val="ru-RU"/>
        </w:rPr>
        <w:t>обем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приложенията</w:t>
      </w:r>
      <w:proofErr w:type="spellEnd"/>
      <w:r>
        <w:rPr>
          <w:lang w:val="ru-RU"/>
        </w:rPr>
        <w:t>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lastRenderedPageBreak/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</w:t>
      </w:r>
      <w:proofErr w:type="spellStart"/>
      <w:r w:rsidR="004A6E88"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="004A6E88" w:rsidRPr="00691933">
        <w:rPr>
          <w:b/>
          <w:color w:val="008000"/>
          <w:sz w:val="28"/>
          <w:lang w:val="ru-RU"/>
        </w:rPr>
        <w:t>)</w:t>
      </w:r>
      <w:r w:rsidR="004A6E88" w:rsidRPr="00B65B9D">
        <w:rPr>
          <w:b/>
          <w:sz w:val="28"/>
          <w:lang w:val="ru-RU"/>
        </w:rPr>
        <w:t xml:space="preserve">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proofErr w:type="spellStart"/>
      <w:r w:rsidRPr="00B65B9D">
        <w:rPr>
          <w:b/>
          <w:sz w:val="28"/>
          <w:lang w:val="ru-RU"/>
        </w:rPr>
        <w:t>Използвана</w:t>
      </w:r>
      <w:proofErr w:type="spellEnd"/>
      <w:r w:rsidRPr="00B65B9D">
        <w:rPr>
          <w:b/>
          <w:sz w:val="28"/>
          <w:lang w:val="ru-RU"/>
        </w:rPr>
        <w:t xml:space="preserve">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литературни</w:t>
      </w:r>
      <w:proofErr w:type="spellEnd"/>
      <w:r w:rsidR="00ED1159">
        <w:rPr>
          <w:lang w:val="ru-RU"/>
        </w:rPr>
        <w:t xml:space="preserve"> </w:t>
      </w:r>
      <w:proofErr w:type="spellStart"/>
      <w:r w:rsidR="00ED1159">
        <w:rPr>
          <w:lang w:val="ru-RU"/>
        </w:rPr>
        <w:t>източника</w:t>
      </w:r>
      <w:proofErr w:type="spellEnd"/>
      <w:r w:rsidR="00ED1159">
        <w:rPr>
          <w:lang w:val="ru-RU"/>
        </w:rPr>
        <w:t xml:space="preserve"> – </w:t>
      </w:r>
      <w:proofErr w:type="spellStart"/>
      <w:r w:rsidR="00ED1159">
        <w:rPr>
          <w:lang w:val="ru-RU"/>
        </w:rPr>
        <w:t>статии</w:t>
      </w:r>
      <w:proofErr w:type="spellEnd"/>
      <w:r w:rsidR="00ED1159">
        <w:rPr>
          <w:lang w:val="ru-RU"/>
        </w:rPr>
        <w:t>, книги, с</w:t>
      </w:r>
      <w:r w:rsidR="00B65B9D" w:rsidRPr="007D1845">
        <w:rPr>
          <w:lang w:val="ru-RU"/>
        </w:rPr>
        <w:t xml:space="preserve">, </w:t>
      </w:r>
      <w:proofErr w:type="spellStart"/>
      <w:r w:rsidR="00B65B9D" w:rsidRPr="007D1845">
        <w:rPr>
          <w:lang w:val="ru-RU"/>
        </w:rPr>
        <w:t>форматирани</w:t>
      </w:r>
      <w:proofErr w:type="spellEnd"/>
      <w:r w:rsidR="00B65B9D" w:rsidRPr="007D1845">
        <w:rPr>
          <w:lang w:val="ru-RU"/>
        </w:rPr>
        <w:t xml:space="preserve"> </w:t>
      </w:r>
      <w:proofErr w:type="spellStart"/>
      <w:r w:rsidR="007D1845" w:rsidRPr="007D1845">
        <w:rPr>
          <w:lang w:val="ru-RU"/>
        </w:rPr>
        <w:t>съгласно</w:t>
      </w:r>
      <w:proofErr w:type="spellEnd"/>
      <w:r w:rsidR="007D1845" w:rsidRPr="007D1845">
        <w:rPr>
          <w:lang w:val="ru-RU"/>
        </w:rPr>
        <w:t xml:space="preserve"> MLA Style</w:t>
      </w:r>
      <w:r w:rsidR="007D1845">
        <w:rPr>
          <w:lang w:val="ru-RU"/>
        </w:rPr>
        <w:t xml:space="preserve"> - </w:t>
      </w:r>
      <w:hyperlink r:id="rId8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72582659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>за измерване на различни параметри на околната среда, съответно и доста нашумяват различни онлайн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съхранение и обработка на такива данни в реално време.</w:t>
      </w:r>
    </w:p>
    <w:p w14:paraId="1BAC9298" w14:textId="34DEC959" w:rsidR="0034214A" w:rsidRPr="00C73E42" w:rsidRDefault="00F07602" w:rsidP="006713B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</w:t>
      </w:r>
      <w:r w:rsidR="00AC2EA9">
        <w:rPr>
          <w:sz w:val="28"/>
          <w:szCs w:val="28"/>
        </w:rPr>
        <w:t>„Отворени данни</w:t>
      </w:r>
      <w:r w:rsidRPr="00F07602">
        <w:rPr>
          <w:sz w:val="28"/>
          <w:szCs w:val="28"/>
        </w:rPr>
        <w:t>”.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 xml:space="preserve">Internet </w:t>
      </w:r>
      <w:proofErr w:type="spellStart"/>
      <w:r w:rsidR="00300E6D" w:rsidRPr="00300E6D">
        <w:rPr>
          <w:sz w:val="28"/>
          <w:szCs w:val="28"/>
        </w:rPr>
        <w:t>of</w:t>
      </w:r>
      <w:proofErr w:type="spellEnd"/>
      <w:r w:rsidR="00300E6D" w:rsidRPr="00300E6D">
        <w:rPr>
          <w:sz w:val="28"/>
          <w:szCs w:val="28"/>
        </w:rPr>
        <w:t xml:space="preserve"> </w:t>
      </w:r>
      <w:proofErr w:type="spellStart"/>
      <w:r w:rsidR="00300E6D" w:rsidRPr="00300E6D">
        <w:rPr>
          <w:sz w:val="28"/>
          <w:szCs w:val="28"/>
        </w:rPr>
        <w:t>Things</w:t>
      </w:r>
      <w:proofErr w:type="spellEnd"/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lastRenderedPageBreak/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1F2F8D" w:rsidRDefault="00B85D16" w:rsidP="001F2F8D">
      <w:pPr>
        <w:pStyle w:val="Heading1"/>
        <w:rPr>
          <w:sz w:val="44"/>
          <w:szCs w:val="44"/>
        </w:rPr>
      </w:pPr>
      <w:r w:rsidRPr="001F2F8D">
        <w:rPr>
          <w:sz w:val="44"/>
          <w:szCs w:val="44"/>
        </w:rPr>
        <w:t>Структура на дипломната работа</w:t>
      </w:r>
    </w:p>
    <w:p w14:paraId="082FC8BD" w14:textId="1AFA4E90" w:rsidR="0083566C" w:rsidRDefault="0083566C" w:rsidP="001F2F8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Дипломата работа е структурирана от следните глави, като всяка глава описва конкретна стъпка от анализа, проектирането и разработката.</w:t>
      </w:r>
    </w:p>
    <w:p w14:paraId="0FA49ADF" w14:textId="77777777" w:rsidR="00FB4732" w:rsidRDefault="00FB4732" w:rsidP="001F2F8D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590232" w:rsidRDefault="00122AEC" w:rsidP="00295CD9">
      <w:pPr>
        <w:rPr>
          <w:lang w:val="ru-RU"/>
        </w:rPr>
      </w:pP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E06007F" w:rsidR="003A14E8" w:rsidRDefault="00D47A0C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ED33C4" w14:textId="5964BF3A" w:rsidR="00CD59FF" w:rsidRPr="00590232" w:rsidRDefault="00CD59FF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6CA40ECC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proofErr w:type="spellStart"/>
      <w:r w:rsidR="00312C3E">
        <w:rPr>
          <w:lang w:val="ru-RU"/>
        </w:rPr>
        <w:t>Проектиране</w:t>
      </w:r>
      <w:proofErr w:type="spellEnd"/>
    </w:p>
    <w:p w14:paraId="6719CBA4" w14:textId="50E4FF40" w:rsidR="006F40EE" w:rsidRPr="006F40EE" w:rsidRDefault="00E87292" w:rsidP="000A3B3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тази глава се разглежда процеса на проектиране </w:t>
      </w:r>
      <w:r w:rsidR="000A3B3A">
        <w:rPr>
          <w:sz w:val="28"/>
          <w:szCs w:val="28"/>
        </w:rPr>
        <w:t>на отделните модули от платформата и изискванията, съответно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67F04307" w14:textId="717AFD3D" w:rsidR="007A016D" w:rsidRDefault="004D197A" w:rsidP="00B922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Общата</w:t>
      </w:r>
      <w:r w:rsidR="002F0A24">
        <w:rPr>
          <w:sz w:val="28"/>
          <w:szCs w:val="28"/>
        </w:rPr>
        <w:t xml:space="preserve"> софтуерна</w:t>
      </w:r>
      <w:r>
        <w:rPr>
          <w:sz w:val="28"/>
          <w:szCs w:val="28"/>
        </w:rPr>
        <w:t xml:space="preserve"> архитектура на</w:t>
      </w:r>
      <w:r w:rsidR="002F0A24">
        <w:rPr>
          <w:sz w:val="28"/>
          <w:szCs w:val="28"/>
        </w:rPr>
        <w:t xml:space="preserve"> разработеното</w:t>
      </w:r>
      <w:r>
        <w:rPr>
          <w:sz w:val="28"/>
          <w:szCs w:val="28"/>
        </w:rPr>
        <w:t xml:space="preserve"> приложението е показана на фигура</w:t>
      </w:r>
      <w:r w:rsidR="00B74FE6">
        <w:rPr>
          <w:sz w:val="28"/>
          <w:szCs w:val="28"/>
        </w:rPr>
        <w:t xml:space="preserve"> 4</w:t>
      </w:r>
      <w:r w:rsidR="0062254C">
        <w:rPr>
          <w:sz w:val="28"/>
          <w:szCs w:val="28"/>
        </w:rPr>
        <w:t>. Всеки блок</w:t>
      </w:r>
      <w:r w:rsidR="00110FD8">
        <w:rPr>
          <w:sz w:val="28"/>
          <w:szCs w:val="28"/>
        </w:rPr>
        <w:t xml:space="preserve"> представлява отделна част от проекта и</w:t>
      </w:r>
      <w:r w:rsidR="0062254C">
        <w:rPr>
          <w:sz w:val="28"/>
          <w:szCs w:val="28"/>
        </w:rPr>
        <w:t xml:space="preserve"> има определена роля и функции.</w:t>
      </w:r>
    </w:p>
    <w:p w14:paraId="73B90EF7" w14:textId="77777777" w:rsidR="007607CA" w:rsidRDefault="007607CA" w:rsidP="00293C23">
      <w:pPr>
        <w:jc w:val="both"/>
        <w:rPr>
          <w:sz w:val="28"/>
          <w:szCs w:val="28"/>
        </w:rPr>
      </w:pPr>
    </w:p>
    <w:p w14:paraId="0B953B84" w14:textId="4F66A3FD" w:rsidR="008D574F" w:rsidRDefault="00B242E5" w:rsidP="00293C23">
      <w:pPr>
        <w:jc w:val="both"/>
        <w:rPr>
          <w:sz w:val="28"/>
          <w:szCs w:val="28"/>
        </w:rPr>
      </w:pPr>
      <w:r>
        <w:object w:dxaOrig="10590" w:dyaOrig="1771" w14:anchorId="42E7C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77.25pt" o:ole="">
            <v:imagedata r:id="rId9" o:title=""/>
          </v:shape>
          <o:OLEObject Type="Embed" ProgID="Visio.Drawing.15" ShapeID="_x0000_i1026" DrawAspect="Content" ObjectID="_1756194313" r:id="rId10"/>
        </w:object>
      </w:r>
    </w:p>
    <w:p w14:paraId="28C667C6" w14:textId="5B9DA852" w:rsidR="009051F8" w:rsidRDefault="002178C5" w:rsidP="00312DFF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4A4F4B79" w14:textId="77777777" w:rsidR="007A016D" w:rsidRPr="00312DFF" w:rsidRDefault="007A016D" w:rsidP="00312DFF">
      <w:pPr>
        <w:jc w:val="center"/>
        <w:rPr>
          <w:i/>
          <w:iCs/>
          <w:sz w:val="28"/>
          <w:szCs w:val="28"/>
        </w:rPr>
      </w:pPr>
    </w:p>
    <w:p w14:paraId="4E6E1548" w14:textId="58302B87" w:rsidR="001F6D9D" w:rsidRDefault="001F6D9D" w:rsidP="001F6D9D">
      <w:pPr>
        <w:rPr>
          <w:sz w:val="28"/>
          <w:szCs w:val="28"/>
        </w:rPr>
      </w:pPr>
      <w:r>
        <w:rPr>
          <w:sz w:val="28"/>
          <w:szCs w:val="28"/>
        </w:rPr>
        <w:t>Основни функции на отделните блокове:</w:t>
      </w:r>
    </w:p>
    <w:p w14:paraId="4B02B1A2" w14:textId="77777777" w:rsidR="001F6D9D" w:rsidRDefault="001F6D9D" w:rsidP="001F6D9D">
      <w:pPr>
        <w:rPr>
          <w:sz w:val="28"/>
          <w:szCs w:val="28"/>
        </w:rPr>
      </w:pPr>
    </w:p>
    <w:p w14:paraId="703343F2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Frontend</w:t>
      </w:r>
      <w:r w:rsidRPr="00B91332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B91332">
        <w:rPr>
          <w:sz w:val="28"/>
          <w:szCs w:val="28"/>
          <w:lang w:val="en-US"/>
        </w:rPr>
        <w:t>UI</w:t>
      </w:r>
      <w:r w:rsidRPr="00B91332">
        <w:rPr>
          <w:sz w:val="28"/>
          <w:szCs w:val="28"/>
        </w:rPr>
        <w:t>, също така той изцяло двупосочно комуникира с сървърната част.</w:t>
      </w:r>
    </w:p>
    <w:p w14:paraId="79C27E1E" w14:textId="7777777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Backend</w:t>
      </w:r>
      <w:r w:rsidRPr="00B91332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356D319F" w14:textId="41657AA7" w:rsidR="001F6D9D" w:rsidRPr="00B91332" w:rsidRDefault="001F6D9D" w:rsidP="00B913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91332">
        <w:rPr>
          <w:sz w:val="28"/>
          <w:szCs w:val="28"/>
          <w:lang w:val="en-US"/>
        </w:rPr>
        <w:t>Database</w:t>
      </w:r>
      <w:r w:rsidRPr="00B91332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35F37730" w14:textId="77777777" w:rsidR="001F6D9D" w:rsidRDefault="001F6D9D" w:rsidP="00720816">
      <w:pPr>
        <w:rPr>
          <w:sz w:val="28"/>
          <w:szCs w:val="28"/>
        </w:rPr>
      </w:pPr>
    </w:p>
    <w:p w14:paraId="010EAC67" w14:textId="7A0C12AE" w:rsidR="00EF6886" w:rsidRDefault="00EF6886" w:rsidP="00B91332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6217E8EE" w:rsidR="00D44AC6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4A4FDB49" w14:textId="77777777" w:rsidR="001F6D9D" w:rsidRPr="00AE0C54" w:rsidRDefault="001F6D9D" w:rsidP="00720816">
      <w:pPr>
        <w:ind w:firstLine="567"/>
        <w:jc w:val="both"/>
        <w:rPr>
          <w:sz w:val="28"/>
          <w:szCs w:val="28"/>
        </w:rPr>
      </w:pPr>
    </w:p>
    <w:p w14:paraId="74217CA1" w14:textId="174833BD" w:rsidR="00F030B6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клиентката част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5887B2C7" w:rsidR="00C52D87" w:rsidRPr="00415A2F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70B8E7C3" w14:textId="77777777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B9E4556" w14:textId="47E710C1" w:rsidR="009D2549" w:rsidRDefault="009D2549" w:rsidP="009D2549">
      <w:pPr>
        <w:pStyle w:val="Heading1"/>
        <w:rPr>
          <w:sz w:val="44"/>
          <w:szCs w:val="44"/>
        </w:rPr>
      </w:pPr>
      <w:r w:rsidRPr="009D2549">
        <w:rPr>
          <w:sz w:val="44"/>
          <w:szCs w:val="44"/>
        </w:rPr>
        <w:t>Потребителски интерфейс</w:t>
      </w:r>
    </w:p>
    <w:p w14:paraId="2B1522BF" w14:textId="1D3E1504" w:rsidR="00F20779" w:rsidRDefault="009D2549" w:rsidP="009D2549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lastRenderedPageBreak/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1B90A53" w14:textId="77777777" w:rsidR="00415A2F" w:rsidRPr="00F20779" w:rsidRDefault="00415A2F" w:rsidP="009D2549">
      <w:pPr>
        <w:jc w:val="both"/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 xml:space="preserve">Обща архитектура – напр.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, модули, </w:t>
      </w:r>
      <w:proofErr w:type="spellStart"/>
      <w:r>
        <w:rPr>
          <w:lang w:val="ru-RU"/>
        </w:rPr>
        <w:t>блокове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компоненти</w:t>
      </w:r>
      <w:proofErr w:type="spellEnd"/>
      <w:r>
        <w:rPr>
          <w:lang w:val="ru-RU"/>
        </w:rPr>
        <w:t>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>
        <w:rPr>
          <w:lang w:val="ru-RU"/>
        </w:rPr>
        <w:t>Модел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(напр. база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файлова</w:t>
      </w:r>
      <w:proofErr w:type="spellEnd"/>
      <w:r>
        <w:rPr>
          <w:lang w:val="ru-RU"/>
        </w:rPr>
        <w:t xml:space="preserve">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 xml:space="preserve">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</w:t>
      </w:r>
      <w:proofErr w:type="spellStart"/>
      <w:r>
        <w:rPr>
          <w:lang w:val="ru-RU"/>
        </w:rPr>
        <w:t>слоеве</w:t>
      </w:r>
      <w:proofErr w:type="spellEnd"/>
      <w:r>
        <w:rPr>
          <w:lang w:val="ru-RU"/>
        </w:rPr>
        <w:t xml:space="preserve"> и модули, с </w:t>
      </w:r>
      <w:proofErr w:type="spellStart"/>
      <w:r>
        <w:rPr>
          <w:lang w:val="ru-RU"/>
        </w:rPr>
        <w:t>извадки</w:t>
      </w:r>
      <w:proofErr w:type="spellEnd"/>
      <w:r>
        <w:rPr>
          <w:lang w:val="ru-RU"/>
        </w:rPr>
        <w:t xml:space="preserve">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5FAB8EA" w14:textId="36D6AC20" w:rsidR="001F3087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4960EA8" w14:textId="6BBD245C" w:rsidR="001F3087" w:rsidRDefault="001F3087">
      <w:pPr>
        <w:rPr>
          <w:lang w:val="ru-RU"/>
        </w:rPr>
      </w:pPr>
      <w:r>
        <w:rPr>
          <w:lang w:val="ru-RU"/>
        </w:rPr>
        <w:br w:type="page"/>
      </w:r>
    </w:p>
    <w:p w14:paraId="0483382F" w14:textId="77777777" w:rsidR="001F3087" w:rsidRDefault="001F3087" w:rsidP="001F3087">
      <w:pPr>
        <w:pStyle w:val="Heading1"/>
      </w:pPr>
      <w:r>
        <w:lastRenderedPageBreak/>
        <w:t>Глава 3. Използвани технологии</w:t>
      </w:r>
    </w:p>
    <w:p w14:paraId="1E18201F" w14:textId="22C2AF46" w:rsidR="00B91332" w:rsidRDefault="00B91332" w:rsidP="001F3087">
      <w:pPr>
        <w:rPr>
          <w:sz w:val="28"/>
          <w:szCs w:val="28"/>
          <w:lang w:val="ru-RU"/>
        </w:rPr>
      </w:pPr>
    </w:p>
    <w:p w14:paraId="543C9AA6" w14:textId="77777777" w:rsidR="00B91332" w:rsidRDefault="00B91332" w:rsidP="001F3087">
      <w:pPr>
        <w:rPr>
          <w:sz w:val="28"/>
          <w:szCs w:val="28"/>
          <w:lang w:val="ru-RU"/>
        </w:rPr>
      </w:pPr>
    </w:p>
    <w:p w14:paraId="5C10D1ED" w14:textId="77777777" w:rsidR="00B91332" w:rsidRDefault="00B91332" w:rsidP="001F3087">
      <w:pPr>
        <w:rPr>
          <w:sz w:val="28"/>
          <w:szCs w:val="28"/>
          <w:lang w:val="ru-RU"/>
        </w:rPr>
      </w:pPr>
    </w:p>
    <w:p w14:paraId="390F17F9" w14:textId="3405C2D9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</w:t>
      </w:r>
      <w:proofErr w:type="spellStart"/>
      <w:r w:rsidRPr="008C10F2">
        <w:rPr>
          <w:sz w:val="28"/>
          <w:szCs w:val="28"/>
          <w:lang w:val="ru-RU"/>
        </w:rPr>
        <w:t>тази</w:t>
      </w:r>
      <w:proofErr w:type="spellEnd"/>
      <w:r w:rsidRPr="008C10F2">
        <w:rPr>
          <w:sz w:val="28"/>
          <w:szCs w:val="28"/>
          <w:lang w:val="ru-RU"/>
        </w:rPr>
        <w:t xml:space="preserve"> глава </w:t>
      </w:r>
      <w:proofErr w:type="spellStart"/>
      <w:r w:rsidRPr="008C10F2">
        <w:rPr>
          <w:sz w:val="28"/>
          <w:szCs w:val="28"/>
          <w:lang w:val="ru-RU"/>
        </w:rPr>
        <w:t>са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разгледани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изполваните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езици</w:t>
      </w:r>
      <w:proofErr w:type="spellEnd"/>
      <w:r w:rsidRPr="008C10F2">
        <w:rPr>
          <w:sz w:val="28"/>
          <w:szCs w:val="28"/>
          <w:lang w:val="ru-RU"/>
        </w:rPr>
        <w:t xml:space="preserve">, работни рамки и технологии за </w:t>
      </w:r>
      <w:proofErr w:type="spellStart"/>
      <w:r w:rsidRPr="008C10F2">
        <w:rPr>
          <w:sz w:val="28"/>
          <w:szCs w:val="28"/>
          <w:lang w:val="ru-RU"/>
        </w:rPr>
        <w:t>софтуерната</w:t>
      </w:r>
      <w:proofErr w:type="spellEnd"/>
      <w:r w:rsidRPr="008C10F2">
        <w:rPr>
          <w:sz w:val="28"/>
          <w:szCs w:val="28"/>
          <w:lang w:val="ru-RU"/>
        </w:rPr>
        <w:t xml:space="preserve">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</w:t>
      </w:r>
      <w:proofErr w:type="spellStart"/>
      <w:r w:rsidRPr="00F5109C">
        <w:rPr>
          <w:sz w:val="28"/>
          <w:szCs w:val="28"/>
          <w:lang w:val="ru-RU"/>
        </w:rPr>
        <w:t>разработва</w:t>
      </w:r>
      <w:proofErr w:type="spellEnd"/>
      <w:r w:rsidRPr="00F5109C">
        <w:rPr>
          <w:sz w:val="28"/>
          <w:szCs w:val="28"/>
          <w:lang w:val="ru-RU"/>
        </w:rPr>
        <w:t xml:space="preserve">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</w:t>
      </w:r>
      <w:proofErr w:type="spellStart"/>
      <w:r w:rsidRPr="00F5109C">
        <w:rPr>
          <w:sz w:val="28"/>
          <w:szCs w:val="28"/>
        </w:rPr>
        <w:t>ораганизации</w:t>
      </w:r>
      <w:proofErr w:type="spellEnd"/>
      <w:r w:rsidRPr="00F5109C">
        <w:rPr>
          <w:sz w:val="28"/>
          <w:szCs w:val="28"/>
        </w:rPr>
        <w:t xml:space="preserve">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</w:t>
      </w:r>
      <w:proofErr w:type="spellStart"/>
      <w:r w:rsidRPr="00F5109C">
        <w:rPr>
          <w:sz w:val="28"/>
          <w:szCs w:val="28"/>
          <w:lang w:val="ru-RU"/>
        </w:rPr>
        <w:t>други</w:t>
      </w:r>
      <w:proofErr w:type="spellEnd"/>
      <w:r w:rsidRPr="00F5109C">
        <w:rPr>
          <w:sz w:val="28"/>
          <w:szCs w:val="28"/>
          <w:lang w:val="ru-RU"/>
        </w:rPr>
        <w:t>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</w:t>
      </w:r>
      <w:proofErr w:type="spellStart"/>
      <w:r w:rsidRPr="00F5109C">
        <w:rPr>
          <w:sz w:val="28"/>
          <w:szCs w:val="28"/>
        </w:rPr>
        <w:t>операционата</w:t>
      </w:r>
      <w:proofErr w:type="spellEnd"/>
      <w:r w:rsidRPr="00F5109C">
        <w:rPr>
          <w:sz w:val="28"/>
          <w:szCs w:val="28"/>
        </w:rPr>
        <w:t xml:space="preserve"> </w:t>
      </w:r>
      <w:proofErr w:type="spellStart"/>
      <w:r w:rsidRPr="00F5109C">
        <w:rPr>
          <w:sz w:val="28"/>
          <w:szCs w:val="28"/>
        </w:rPr>
        <w:t>систена</w:t>
      </w:r>
      <w:proofErr w:type="spellEnd"/>
      <w:r w:rsidRPr="00F5109C">
        <w:rPr>
          <w:sz w:val="28"/>
          <w:szCs w:val="28"/>
        </w:rPr>
        <w:t xml:space="preserve">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proofErr w:type="spellStart"/>
      <w:r w:rsidRPr="00F5109C">
        <w:rPr>
          <w:sz w:val="28"/>
          <w:szCs w:val="28"/>
          <w:lang w:val="en-US"/>
        </w:rPr>
        <w:t>Virtial</w:t>
      </w:r>
      <w:proofErr w:type="spellEnd"/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</w:t>
      </w:r>
      <w:proofErr w:type="gramStart"/>
      <w:r w:rsidRPr="00F5109C">
        <w:rPr>
          <w:color w:val="111111"/>
          <w:sz w:val="28"/>
          <w:szCs w:val="28"/>
        </w:rPr>
        <w:t>използват 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proofErr w:type="spellStart"/>
      <w:r w:rsidRPr="00F5109C">
        <w:rPr>
          <w:color w:val="111111"/>
          <w:sz w:val="28"/>
          <w:szCs w:val="28"/>
          <w:lang w:val="en-US"/>
        </w:rPr>
        <w:t>GraalV</w:t>
      </w:r>
      <w:proofErr w:type="spellEnd"/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 xml:space="preserve">Spring </w:t>
      </w:r>
      <w:proofErr w:type="spellStart"/>
      <w:r w:rsidRPr="005060D9">
        <w:rPr>
          <w:i/>
          <w:iCs/>
          <w:sz w:val="28"/>
          <w:szCs w:val="28"/>
          <w:u w:val="single"/>
          <w:lang w:val="en-US"/>
        </w:rPr>
        <w:t>Webflux</w:t>
      </w:r>
      <w:proofErr w:type="spellEnd"/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lastRenderedPageBreak/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</w:t>
      </w:r>
      <w:proofErr w:type="spellStart"/>
      <w:r w:rsidR="007B7965">
        <w:rPr>
          <w:b/>
          <w:sz w:val="48"/>
          <w:szCs w:val="48"/>
          <w:lang w:val="ru-RU"/>
        </w:rPr>
        <w:t>Софтуерна</w:t>
      </w:r>
      <w:proofErr w:type="spellEnd"/>
      <w:r w:rsidR="007B7965">
        <w:rPr>
          <w:b/>
          <w:sz w:val="48"/>
          <w:szCs w:val="48"/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5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2742" w14:textId="77777777" w:rsidR="005F4E84" w:rsidRDefault="005F4E84" w:rsidP="0079203B">
      <w:r>
        <w:separator/>
      </w:r>
    </w:p>
  </w:endnote>
  <w:endnote w:type="continuationSeparator" w:id="0">
    <w:p w14:paraId="6DACD231" w14:textId="77777777" w:rsidR="005F4E84" w:rsidRDefault="005F4E84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9FAF" w14:textId="77777777" w:rsidR="005F4E84" w:rsidRDefault="005F4E84" w:rsidP="0079203B">
      <w:r>
        <w:separator/>
      </w:r>
    </w:p>
  </w:footnote>
  <w:footnote w:type="continuationSeparator" w:id="0">
    <w:p w14:paraId="0CDCC85B" w14:textId="77777777" w:rsidR="005F4E84" w:rsidRDefault="005F4E84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84" type="#_x0000_t75" style="width:41.25pt;height:51pt" o:ole="" fillcolor="window">
                <v:imagedata r:id="rId1" o:title=""/>
              </v:shape>
              <o:OLEObject Type="Embed" ProgID="Word.Picture.8" ShapeID="_x0000_i1184" DrawAspect="Content" ObjectID="_1756194314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3137" w:dyaOrig="3871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56194315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7"/>
  </w:num>
  <w:num w:numId="5">
    <w:abstractNumId w:val="7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16"/>
  </w:num>
  <w:num w:numId="12">
    <w:abstractNumId w:val="21"/>
  </w:num>
  <w:num w:numId="13">
    <w:abstractNumId w:val="20"/>
  </w:num>
  <w:num w:numId="14">
    <w:abstractNumId w:val="0"/>
  </w:num>
  <w:num w:numId="15">
    <w:abstractNumId w:val="18"/>
  </w:num>
  <w:num w:numId="16">
    <w:abstractNumId w:val="13"/>
  </w:num>
  <w:num w:numId="17">
    <w:abstractNumId w:val="8"/>
  </w:num>
  <w:num w:numId="18">
    <w:abstractNumId w:val="1"/>
  </w:num>
  <w:num w:numId="19">
    <w:abstractNumId w:val="14"/>
  </w:num>
  <w:num w:numId="20">
    <w:abstractNumId w:val="15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75AE0"/>
    <w:rsid w:val="0009397F"/>
    <w:rsid w:val="000A3B3A"/>
    <w:rsid w:val="000A49BB"/>
    <w:rsid w:val="000B0894"/>
    <w:rsid w:val="000C2B49"/>
    <w:rsid w:val="000D5899"/>
    <w:rsid w:val="000E0D65"/>
    <w:rsid w:val="000E7961"/>
    <w:rsid w:val="000F03A4"/>
    <w:rsid w:val="00110FD8"/>
    <w:rsid w:val="00112A07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F0FFE"/>
    <w:rsid w:val="001F2F8D"/>
    <w:rsid w:val="001F3087"/>
    <w:rsid w:val="001F6D9D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A5624"/>
    <w:rsid w:val="002B59C7"/>
    <w:rsid w:val="002B5CD2"/>
    <w:rsid w:val="002E53FD"/>
    <w:rsid w:val="002F0A24"/>
    <w:rsid w:val="002F318F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C2764"/>
    <w:rsid w:val="003D3CA5"/>
    <w:rsid w:val="003D47EF"/>
    <w:rsid w:val="003E1CD7"/>
    <w:rsid w:val="003F21CE"/>
    <w:rsid w:val="003F27C6"/>
    <w:rsid w:val="003F41E3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11279"/>
    <w:rsid w:val="005147B5"/>
    <w:rsid w:val="005417FF"/>
    <w:rsid w:val="005445D9"/>
    <w:rsid w:val="005563A2"/>
    <w:rsid w:val="00557F9C"/>
    <w:rsid w:val="00590232"/>
    <w:rsid w:val="005A65C5"/>
    <w:rsid w:val="005A7564"/>
    <w:rsid w:val="005B35C3"/>
    <w:rsid w:val="005B6151"/>
    <w:rsid w:val="005B7C02"/>
    <w:rsid w:val="005B7FCD"/>
    <w:rsid w:val="005C02D5"/>
    <w:rsid w:val="005D5592"/>
    <w:rsid w:val="005F4E84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8302C"/>
    <w:rsid w:val="00684DB8"/>
    <w:rsid w:val="00691933"/>
    <w:rsid w:val="00695238"/>
    <w:rsid w:val="006C6A9B"/>
    <w:rsid w:val="006C7B2F"/>
    <w:rsid w:val="006D2CD6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59DA"/>
    <w:rsid w:val="00765F16"/>
    <w:rsid w:val="0079203B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3566C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90574"/>
    <w:rsid w:val="008A5AFF"/>
    <w:rsid w:val="008B3F96"/>
    <w:rsid w:val="008C10F2"/>
    <w:rsid w:val="008D18B0"/>
    <w:rsid w:val="008D2EE0"/>
    <w:rsid w:val="008D574F"/>
    <w:rsid w:val="008F202D"/>
    <w:rsid w:val="009051F8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2549"/>
    <w:rsid w:val="009D49CE"/>
    <w:rsid w:val="00A07452"/>
    <w:rsid w:val="00A1482E"/>
    <w:rsid w:val="00A3338D"/>
    <w:rsid w:val="00AB6013"/>
    <w:rsid w:val="00AC2EA9"/>
    <w:rsid w:val="00AC3604"/>
    <w:rsid w:val="00AC6784"/>
    <w:rsid w:val="00AE0C54"/>
    <w:rsid w:val="00AE76D8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34BFF"/>
    <w:rsid w:val="00C3793A"/>
    <w:rsid w:val="00C42128"/>
    <w:rsid w:val="00C52D87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49A5"/>
    <w:rsid w:val="00CD501A"/>
    <w:rsid w:val="00CD59FF"/>
    <w:rsid w:val="00CD7F1C"/>
    <w:rsid w:val="00D16B8A"/>
    <w:rsid w:val="00D25BB3"/>
    <w:rsid w:val="00D44AC6"/>
    <w:rsid w:val="00D47A0C"/>
    <w:rsid w:val="00D531C0"/>
    <w:rsid w:val="00D657DF"/>
    <w:rsid w:val="00D712CA"/>
    <w:rsid w:val="00D73B80"/>
    <w:rsid w:val="00D80489"/>
    <w:rsid w:val="00D81537"/>
    <w:rsid w:val="00D81C53"/>
    <w:rsid w:val="00D84482"/>
    <w:rsid w:val="00D90B40"/>
    <w:rsid w:val="00D90BEF"/>
    <w:rsid w:val="00D97E0A"/>
    <w:rsid w:val="00DA6B36"/>
    <w:rsid w:val="00DB30AB"/>
    <w:rsid w:val="00DC0345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30B6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5624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mun.ca/guides/howto/mla.php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library.mun.ca/guides/howto/mla.ph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20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17117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260</cp:revision>
  <dcterms:created xsi:type="dcterms:W3CDTF">2023-05-19T07:28:00Z</dcterms:created>
  <dcterms:modified xsi:type="dcterms:W3CDTF">2023-09-14T07:58:00Z</dcterms:modified>
</cp:coreProperties>
</file>