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line"/>
      </w:pPr>
      <w:r>
        <w:t>ENGINEERING BLUEPRINT  /  VERSION 0.7</w:t>
      </w:r>
    </w:p>
    <w:p>
      <w:pPr>
        <w:pStyle w:val="Title"/>
      </w:pPr>
      <w:r>
        <w:t>Team Unicorn — Technical &amp; Simulation Status</w:t>
      </w:r>
    </w:p>
    <w:p>
      <w:pPr>
        <w:pStyle w:val="Subline"/>
      </w:pPr>
      <w:r>
        <w:t>Whole number-system universe construction / release 0.7</w:t>
      </w:r>
    </w:p>
    <w:p>
      <w:pPr>
        <w:pStyle w:val="SmallNote"/>
      </w:pPr>
      <w:r>
        <w:t>13 October 2026   •   Team Unicorn   •   Exploratory / unverified</w:t>
      </w:r>
    </w:p>
    <w:p>
      <w:pPr>
        <w:pStyle w:val="Heading1"/>
      </w:pPr>
      <w:r>
        <w:t>The Whole Number-System Universe Blueprint</w:t>
      </w:r>
    </w:p>
    <w:p>
      <w:r>
        <w:t>The overarching objective is an engineering realisation of an already-defined abstract number system. The integer stepping-stone line is its foundation—not the completed numerical universe.</w:t>
      </w:r>
    </w:p>
    <w:tbl>
      <w:tblPr>
        <w:tblStyle w:val="LightShading-Accent1"/>
        <w:tblW w:type="auto" w:w="0"/>
        <w:jc w:val="center"/>
        <w:tblLook w:firstColumn="1" w:firstRow="1" w:lastColumn="0" w:lastRow="0" w:noHBand="0" w:noVBand="1" w:val="04A0"/>
      </w:tblPr>
      <w:tblGrid>
        <w:gridCol w:w="3264"/>
        <w:gridCol w:w="3264"/>
        <w:gridCol w:w="3264"/>
      </w:tblGrid>
      <w:tr>
        <w:trPr>
          <w:cantSplit/>
        </w:trPr>
        <w:tc>
          <w:tcPr>
            <w:tcW w:type="dxa" w:w="3264"/>
            <w:shd w:fill="EAF2F2"/>
          </w:tcPr>
          <w:p>
            <w:r>
              <w:rPr>
                <w:b/>
                <w:color w:val="12676F"/>
                <w:sz w:val="16"/>
              </w:rPr>
              <w:t>Layer</w:t>
            </w:r>
          </w:p>
        </w:tc>
        <w:tc>
          <w:tcPr>
            <w:tcW w:type="dxa" w:w="3264"/>
            <w:shd w:fill="EAF2F2"/>
          </w:tcPr>
          <w:p>
            <w:r>
              <w:rPr>
                <w:b/>
                <w:color w:val="12676F"/>
                <w:sz w:val="16"/>
              </w:rPr>
              <w:t>Blueprint wording</w:t>
            </w:r>
          </w:p>
        </w:tc>
        <w:tc>
          <w:tcPr>
            <w:tcW w:type="dxa" w:w="3264"/>
            <w:shd w:fill="EAF2F2"/>
          </w:tcPr>
          <w:p>
            <w:r>
              <w:rPr>
                <w:b/>
                <w:color w:val="12676F"/>
                <w:sz w:val="16"/>
              </w:rPr>
              <w:t>Implementation meaning</w:t>
            </w:r>
          </w:p>
        </w:tc>
      </w:tr>
      <w:tr>
        <w:trPr>
          <w:cantSplit/>
        </w:trPr>
        <w:tc>
          <w:tcPr>
            <w:tcW w:type="dxa" w:w="3264"/>
            <w:vAlign w:val="center"/>
          </w:tcPr>
          <w:p>
            <w:pPr>
              <w:spacing w:after="40" w:before="40"/>
            </w:pPr>
            <w:r>
              <w:rPr>
                <w:sz w:val="16"/>
              </w:rPr>
              <w:t>The Blueprint — Abstract Number System</w:t>
            </w:r>
          </w:p>
        </w:tc>
        <w:tc>
          <w:tcPr>
            <w:tcW w:type="dxa" w:w="3264"/>
            <w:vAlign w:val="center"/>
          </w:tcPr>
          <w:p>
            <w:pPr>
              <w:spacing w:after="40" w:before="40"/>
            </w:pPr>
            <w:r>
              <w:rPr>
                <w:sz w:val="16"/>
              </w:rPr>
              <w:t>Integers, rationals, reals, operations and relations</w:t>
            </w:r>
          </w:p>
        </w:tc>
        <w:tc>
          <w:tcPr>
            <w:tcW w:type="dxa" w:w="3264"/>
            <w:vAlign w:val="center"/>
          </w:tcPr>
          <w:p>
            <w:pPr>
              <w:spacing w:after="40" w:before="40"/>
            </w:pPr>
            <w:r>
              <w:rPr>
                <w:sz w:val="16"/>
              </w:rPr>
              <w:t>The logical specification of what is to be represented</w:t>
            </w:r>
          </w:p>
        </w:tc>
      </w:tr>
      <w:tr>
        <w:trPr>
          <w:cantSplit/>
        </w:trPr>
        <w:tc>
          <w:tcPr>
            <w:tcW w:type="dxa" w:w="3264"/>
            <w:vAlign w:val="center"/>
          </w:tcPr>
          <w:p>
            <w:pPr>
              <w:spacing w:after="40" w:before="40"/>
            </w:pPr>
            <w:r>
              <w:rPr>
                <w:sz w:val="16"/>
              </w:rPr>
              <w:t>Phase I — Integer Foundation</w:t>
            </w:r>
          </w:p>
        </w:tc>
        <w:tc>
          <w:tcPr>
            <w:tcW w:type="dxa" w:w="3264"/>
            <w:vAlign w:val="center"/>
          </w:tcPr>
          <w:p>
            <w:pPr>
              <w:spacing w:after="40" w:before="40"/>
            </w:pPr>
            <w:r>
              <w:rPr>
                <w:sz w:val="16"/>
              </w:rPr>
              <w:t>+1 marking; unbounded integer stepping stones</w:t>
            </w:r>
          </w:p>
        </w:tc>
        <w:tc>
          <w:tcPr>
            <w:tcW w:type="dxa" w:w="3264"/>
            <w:vAlign w:val="center"/>
          </w:tcPr>
          <w:p>
            <w:pPr>
              <w:spacing w:after="40" w:before="40"/>
            </w:pPr>
            <w:r>
              <w:rPr>
                <w:sz w:val="16"/>
              </w:rPr>
              <w:t>Successor markers, correct labels, unlimited extension</w:t>
            </w:r>
          </w:p>
        </w:tc>
      </w:tr>
      <w:tr>
        <w:trPr>
          <w:cantSplit/>
        </w:trPr>
        <w:tc>
          <w:tcPr>
            <w:tcW w:type="dxa" w:w="3264"/>
            <w:vAlign w:val="center"/>
          </w:tcPr>
          <w:p>
            <w:pPr>
              <w:spacing w:after="40" w:before="40"/>
            </w:pPr>
            <w:r>
              <w:rPr>
                <w:sz w:val="16"/>
              </w:rPr>
              <w:t>Phase II — Structural Engineering</w:t>
            </w:r>
          </w:p>
        </w:tc>
        <w:tc>
          <w:tcPr>
            <w:tcW w:type="dxa" w:w="3264"/>
            <w:vAlign w:val="center"/>
          </w:tcPr>
          <w:p>
            <w:pPr>
              <w:spacing w:after="40" w:before="40"/>
            </w:pPr>
            <w:r>
              <w:rPr>
                <w:sz w:val="16"/>
              </w:rPr>
              <w:t>Prime-factor checksum; links, reuse, rearrangement</w:t>
            </w:r>
          </w:p>
        </w:tc>
        <w:tc>
          <w:tcPr>
            <w:tcW w:type="dxa" w:w="3264"/>
            <w:vAlign w:val="center"/>
          </w:tcPr>
          <w:p>
            <w:pPr>
              <w:spacing w:after="40" w:before="40"/>
            </w:pPr>
            <w:r>
              <w:rPr>
                <w:sz w:val="16"/>
              </w:rPr>
              <w:t>Cumulative certificates, layout and management</w:t>
            </w:r>
          </w:p>
        </w:tc>
      </w:tr>
      <w:tr>
        <w:trPr>
          <w:cantSplit/>
        </w:trPr>
        <w:tc>
          <w:tcPr>
            <w:tcW w:type="dxa" w:w="3264"/>
            <w:vAlign w:val="center"/>
          </w:tcPr>
          <w:p>
            <w:pPr>
              <w:spacing w:after="40" w:before="40"/>
            </w:pPr>
            <w:r>
              <w:rPr>
                <w:sz w:val="16"/>
              </w:rPr>
              <w:t>Phase III — Numerical Continuum</w:t>
            </w:r>
          </w:p>
        </w:tc>
        <w:tc>
          <w:tcPr>
            <w:tcW w:type="dxa" w:w="3264"/>
            <w:vAlign w:val="center"/>
          </w:tcPr>
          <w:p>
            <w:pPr>
              <w:spacing w:after="40" w:before="40"/>
            </w:pPr>
            <w:r>
              <w:rPr>
                <w:sz w:val="16"/>
              </w:rPr>
              <w:t>Rational and real representations between integers</w:t>
            </w:r>
          </w:p>
        </w:tc>
        <w:tc>
          <w:tcPr>
            <w:tcW w:type="dxa" w:w="3264"/>
            <w:vAlign w:val="center"/>
          </w:tcPr>
          <w:p>
            <w:pPr>
              <w:spacing w:after="40" w:before="40"/>
            </w:pPr>
            <w:r>
              <w:rPr>
                <w:sz w:val="16"/>
              </w:rPr>
              <w:t>Lazy interval access; division and completeness</w:t>
            </w:r>
          </w:p>
        </w:tc>
      </w:tr>
      <w:tr>
        <w:trPr>
          <w:cantSplit/>
        </w:trPr>
        <w:tc>
          <w:tcPr>
            <w:tcW w:type="dxa" w:w="3264"/>
            <w:vAlign w:val="center"/>
          </w:tcPr>
          <w:p>
            <w:pPr>
              <w:spacing w:after="40" w:before="40"/>
            </w:pPr>
            <w:r>
              <w:rPr>
                <w:sz w:val="16"/>
              </w:rPr>
              <w:t>Phase IV — Dynamic Mathematical Universe</w:t>
            </w:r>
          </w:p>
        </w:tc>
        <w:tc>
          <w:tcPr>
            <w:tcW w:type="dxa" w:w="3264"/>
            <w:vAlign w:val="center"/>
          </w:tcPr>
          <w:p>
            <w:pPr>
              <w:spacing w:after="40" w:before="40"/>
            </w:pPr>
            <w:r>
              <w:rPr>
                <w:sz w:val="16"/>
              </w:rPr>
              <w:t>3D construction, time, Fourier, morphogenesis</w:t>
            </w:r>
          </w:p>
        </w:tc>
        <w:tc>
          <w:tcPr>
            <w:tcW w:type="dxa" w:w="3264"/>
            <w:vAlign w:val="center"/>
          </w:tcPr>
          <w:p>
            <w:pPr>
              <w:spacing w:after="40" w:before="40"/>
            </w:pPr>
            <w:r>
              <w:rPr>
                <w:sz w:val="16"/>
              </w:rPr>
              <w:t>Dynamical spatial implementation and propagation</w:t>
            </w:r>
          </w:p>
        </w:tc>
      </w:tr>
    </w:tbl>
    <w:p>
      <w:pPr>
        <w:spacing w:after="0"/>
      </w:pPr>
    </w:p>
    <w:p>
      <w:pPr>
        <w:pStyle w:val="Heading1"/>
      </w:pPr>
      <w:r>
        <w:t>Sequence of layers versus concurrent construction</w:t>
      </w:r>
    </w:p>
    <w:p>
      <w:r>
        <w:t>These phases specify logical layers, not four strictly serial milestones. Successor marking (I), inherited structural certification (II), and time-dependent gait/feedback (IV) operate concurrently from the outset. The numerical continuum (III) needs separately specified representations and completeness rules before it can be implemented.</w:t>
      </w:r>
    </w:p>
    <w:p>
      <w:pPr>
        <w:pStyle w:val="Heading1"/>
      </w:pPr>
      <w:r>
        <w:t>Construction process: Team Unicorn Relay</w:t>
      </w:r>
    </w:p>
    <w:tbl>
      <w:tblPr>
        <w:tblStyle w:val="LightShading-Accent1"/>
        <w:tblW w:type="auto" w:w="0"/>
        <w:jc w:val="center"/>
        <w:tblLook w:firstColumn="1" w:firstRow="1" w:lastColumn="0" w:lastRow="0" w:noHBand="0" w:noVBand="1" w:val="04A0"/>
      </w:tblPr>
      <w:tblGrid>
        <w:gridCol w:w="3264"/>
        <w:gridCol w:w="3264"/>
        <w:gridCol w:w="3264"/>
      </w:tblGrid>
      <w:tr>
        <w:trPr>
          <w:cantSplit/>
        </w:trPr>
        <w:tc>
          <w:tcPr>
            <w:tcW w:type="dxa" w:w="3264"/>
            <w:shd w:fill="EAF2F2"/>
          </w:tcPr>
          <w:p>
            <w:r>
              <w:rPr>
                <w:b/>
                <w:color w:val="12676F"/>
                <w:sz w:val="16"/>
              </w:rPr>
              <w:t>Operation</w:t>
            </w:r>
          </w:p>
        </w:tc>
        <w:tc>
          <w:tcPr>
            <w:tcW w:type="dxa" w:w="3264"/>
            <w:shd w:fill="EAF2F2"/>
          </w:tcPr>
          <w:p>
            <w:r>
              <w:rPr>
                <w:b/>
                <w:color w:val="12676F"/>
                <w:sz w:val="16"/>
              </w:rPr>
              <w:t>Assignment</w:t>
            </w:r>
          </w:p>
        </w:tc>
        <w:tc>
          <w:tcPr>
            <w:tcW w:type="dxa" w:w="3264"/>
            <w:shd w:fill="EAF2F2"/>
          </w:tcPr>
          <w:p>
            <w:r>
              <w:rPr>
                <w:b/>
                <w:color w:val="12676F"/>
                <w:sz w:val="16"/>
              </w:rPr>
              <w:t>Acceptance criterion</w:t>
            </w:r>
          </w:p>
        </w:tc>
      </w:tr>
      <w:tr>
        <w:trPr>
          <w:cantSplit/>
        </w:trPr>
        <w:tc>
          <w:tcPr>
            <w:tcW w:type="dxa" w:w="3264"/>
            <w:vAlign w:val="center"/>
          </w:tcPr>
          <w:p>
            <w:pPr>
              <w:spacing w:after="40" w:before="40"/>
            </w:pPr>
            <w:r>
              <w:rPr>
                <w:sz w:val="16"/>
              </w:rPr>
              <w:t>설계 / Design</w:t>
            </w:r>
          </w:p>
        </w:tc>
        <w:tc>
          <w:tcPr>
            <w:tcW w:type="dxa" w:w="3264"/>
            <w:vAlign w:val="center"/>
          </w:tcPr>
          <w:p>
            <w:pPr>
              <w:spacing w:after="40" w:before="40"/>
            </w:pPr>
            <w:r>
              <w:rPr>
                <w:sz w:val="16"/>
              </w:rPr>
              <w:t>Pre-known destination n; choose leg count, candidate prime leg labels, phase, cadence and manufacturing cost</w:t>
            </w:r>
          </w:p>
        </w:tc>
        <w:tc>
          <w:tcPr>
            <w:tcW w:type="dxa" w:w="3264"/>
            <w:vAlign w:val="center"/>
          </w:tcPr>
          <w:p>
            <w:pPr>
              <w:spacing w:after="40" w:before="40"/>
            </w:pPr>
            <w:r>
              <w:rPr>
                <w:sz w:val="16"/>
              </w:rPr>
              <w:t>No hard-coded prime success rule</w:t>
            </w:r>
          </w:p>
        </w:tc>
      </w:tr>
      <w:tr>
        <w:trPr>
          <w:cantSplit/>
        </w:trPr>
        <w:tc>
          <w:tcPr>
            <w:tcW w:type="dxa" w:w="3264"/>
            <w:vAlign w:val="center"/>
          </w:tcPr>
          <w:p>
            <w:pPr>
              <w:spacing w:after="40" w:before="40"/>
            </w:pPr>
            <w:r>
              <w:rPr>
                <w:sz w:val="16"/>
              </w:rPr>
              <w:t>이동·인증 / Transit</w:t>
            </w:r>
          </w:p>
        </w:tc>
        <w:tc>
          <w:tcPr>
            <w:tcW w:type="dxa" w:w="3264"/>
            <w:vAlign w:val="center"/>
          </w:tcPr>
          <w:p>
            <w:pPr>
              <w:spacing w:after="40" w:before="40"/>
            </w:pPr>
            <w:r>
              <w:rPr>
                <w:sz w:val="16"/>
              </w:rPr>
              <w:t>Travel across and audit the previously certified prefix 0..n−1 using inherited certificates</w:t>
            </w:r>
          </w:p>
        </w:tc>
        <w:tc>
          <w:tcPr>
            <w:tcW w:type="dxa" w:w="3264"/>
            <w:vAlign w:val="center"/>
          </w:tcPr>
          <w:p>
            <w:pPr>
              <w:spacing w:after="40" w:before="40"/>
            </w:pPr>
            <w:r>
              <w:rPr>
                <w:sz w:val="16"/>
              </w:rPr>
              <w:t>0/1 exceptions; cache invariants</w:t>
            </w:r>
          </w:p>
        </w:tc>
      </w:tr>
      <w:tr>
        <w:trPr>
          <w:cantSplit/>
        </w:trPr>
        <w:tc>
          <w:tcPr>
            <w:tcW w:type="dxa" w:w="3264"/>
            <w:vAlign w:val="center"/>
          </w:tcPr>
          <w:p>
            <w:pPr>
              <w:spacing w:after="40" w:before="40"/>
            </w:pPr>
            <w:r>
              <w:rPr>
                <w:sz w:val="16"/>
              </w:rPr>
              <w:t>+1 마킹 / Marking</w:t>
            </w:r>
          </w:p>
        </w:tc>
        <w:tc>
          <w:tcPr>
            <w:tcW w:type="dxa" w:w="3264"/>
            <w:vAlign w:val="center"/>
          </w:tcPr>
          <w:p>
            <w:pPr>
              <w:spacing w:after="40" w:before="40"/>
            </w:pPr>
            <w:r>
              <w:rPr>
                <w:sz w:val="16"/>
              </w:rPr>
              <w:t>Final successor +1 from n−1 to n</w:t>
            </w:r>
          </w:p>
        </w:tc>
        <w:tc>
          <w:tcPr>
            <w:tcW w:type="dxa" w:w="3264"/>
            <w:vAlign w:val="center"/>
          </w:tcPr>
          <w:p>
            <w:pPr>
              <w:spacing w:after="40" w:before="40"/>
            </w:pPr>
            <w:r>
              <w:rPr>
                <w:sz w:val="16"/>
              </w:rPr>
              <w:t>Exactly one new marker</w:t>
            </w:r>
          </w:p>
        </w:tc>
      </w:tr>
      <w:tr>
        <w:trPr>
          <w:cantSplit/>
        </w:trPr>
        <w:tc>
          <w:tcPr>
            <w:tcW w:type="dxa" w:w="3264"/>
            <w:vAlign w:val="center"/>
          </w:tcPr>
          <w:p>
            <w:pPr>
              <w:spacing w:after="40" w:before="40"/>
            </w:pPr>
            <w:r>
              <w:rPr>
                <w:sz w:val="16"/>
              </w:rPr>
              <w:t>실수 구간 / Interval</w:t>
            </w:r>
          </w:p>
        </w:tc>
        <w:tc>
          <w:tcPr>
            <w:tcW w:type="dxa" w:w="3264"/>
            <w:vAlign w:val="center"/>
          </w:tcPr>
          <w:p>
            <w:pPr>
              <w:spacing w:after="40" w:before="40"/>
            </w:pPr>
            <w:r>
              <w:rPr>
                <w:sz w:val="16"/>
              </w:rPr>
              <w:t>Mark interval [n−1,n] as potentially addressable</w:t>
            </w:r>
          </w:p>
        </w:tc>
        <w:tc>
          <w:tcPr>
            <w:tcW w:type="dxa" w:w="3264"/>
            <w:vAlign w:val="center"/>
          </w:tcPr>
          <w:p>
            <w:pPr>
              <w:spacing w:after="40" w:before="40"/>
            </w:pPr>
            <w:r>
              <w:rPr>
                <w:sz w:val="16"/>
              </w:rPr>
              <w:t>Promise of representation, not creation of reals</w:t>
            </w:r>
          </w:p>
        </w:tc>
      </w:tr>
      <w:tr>
        <w:trPr>
          <w:cantSplit/>
        </w:trPr>
        <w:tc>
          <w:tcPr>
            <w:tcW w:type="dxa" w:w="3264"/>
            <w:vAlign w:val="center"/>
          </w:tcPr>
          <w:p>
            <w:pPr>
              <w:spacing w:after="40" w:before="40"/>
            </w:pPr>
            <w:r>
              <w:rPr>
                <w:sz w:val="16"/>
              </w:rPr>
              <w:t>귀환·개선 / Handover</w:t>
            </w:r>
          </w:p>
        </w:tc>
        <w:tc>
          <w:tcPr>
            <w:tcW w:type="dxa" w:w="3264"/>
            <w:vAlign w:val="center"/>
          </w:tcPr>
          <w:p>
            <w:pPr>
              <w:spacing w:after="40" w:before="40"/>
            </w:pPr>
            <w:r>
              <w:rPr>
                <w:sz w:val="16"/>
              </w:rPr>
              <w:t>Return performance, audit, control and layout information for next generation</w:t>
            </w:r>
          </w:p>
        </w:tc>
        <w:tc>
          <w:tcPr>
            <w:tcW w:type="dxa" w:w="3264"/>
            <w:vAlign w:val="center"/>
          </w:tcPr>
          <w:p>
            <w:pPr>
              <w:spacing w:after="40" w:before="40"/>
            </w:pPr>
            <w:r>
              <w:rPr>
                <w:sz w:val="16"/>
              </w:rPr>
              <w:t>Include return and redesign cost</w:t>
            </w:r>
          </w:p>
        </w:tc>
      </w:tr>
    </w:tbl>
    <w:p>
      <w:pPr>
        <w:spacing w:after="0"/>
      </w:pPr>
    </w:p>
    <w:p>
      <w:pPr>
        <w:pStyle w:val="Heading1"/>
      </w:pPr>
      <w:r>
        <w:t>Spatial and informational stack</w:t>
      </w:r>
    </w:p>
    <w:tbl>
      <w:tblPr>
        <w:tblStyle w:val="LightShading-Accent1"/>
        <w:tblW w:type="auto" w:w="0"/>
        <w:jc w:val="center"/>
        <w:tblLook w:firstColumn="1" w:firstRow="1" w:lastColumn="0" w:lastRow="0" w:noHBand="0" w:noVBand="1" w:val="04A0"/>
      </w:tblPr>
      <w:tblGrid>
        <w:gridCol w:w="4896"/>
        <w:gridCol w:w="4896"/>
      </w:tblGrid>
      <w:tr>
        <w:trPr>
          <w:cantSplit/>
        </w:trPr>
        <w:tc>
          <w:tcPr>
            <w:tcW w:type="dxa" w:w="4896"/>
            <w:shd w:fill="EAF2F2"/>
          </w:tcPr>
          <w:p>
            <w:r>
              <w:rPr>
                <w:b/>
                <w:color w:val="12676F"/>
                <w:sz w:val="16"/>
              </w:rPr>
              <w:t>Layer</w:t>
            </w:r>
          </w:p>
        </w:tc>
        <w:tc>
          <w:tcPr>
            <w:tcW w:type="dxa" w:w="4896"/>
            <w:shd w:fill="EAF2F2"/>
          </w:tcPr>
          <w:p>
            <w:r>
              <w:rPr>
                <w:b/>
                <w:color w:val="12676F"/>
                <w:sz w:val="16"/>
              </w:rPr>
              <w:t>Role</w:t>
            </w:r>
          </w:p>
        </w:tc>
      </w:tr>
      <w:tr>
        <w:trPr>
          <w:cantSplit/>
        </w:trPr>
        <w:tc>
          <w:tcPr>
            <w:tcW w:type="dxa" w:w="4896"/>
            <w:vAlign w:val="center"/>
          </w:tcPr>
          <w:p>
            <w:pPr>
              <w:spacing w:after="40" w:before="40"/>
            </w:pPr>
            <w:r>
              <w:rPr>
                <w:sz w:val="16"/>
              </w:rPr>
              <w:t>1D number line</w:t>
            </w:r>
          </w:p>
        </w:tc>
        <w:tc>
          <w:tcPr>
            <w:tcW w:type="dxa" w:w="4896"/>
            <w:vAlign w:val="center"/>
          </w:tcPr>
          <w:p>
            <w:pPr>
              <w:spacing w:after="40" w:before="40"/>
            </w:pPr>
            <w:r>
              <w:rPr>
                <w:sz w:val="16"/>
              </w:rPr>
              <w:t>The visible integer markers and exact successor order</w:t>
            </w:r>
          </w:p>
        </w:tc>
      </w:tr>
      <w:tr>
        <w:trPr>
          <w:cantSplit/>
        </w:trPr>
        <w:tc>
          <w:tcPr>
            <w:tcW w:type="dxa" w:w="4896"/>
            <w:vAlign w:val="center"/>
          </w:tcPr>
          <w:p>
            <w:pPr>
              <w:spacing w:after="40" w:before="40"/>
            </w:pPr>
            <w:r>
              <w:rPr>
                <w:sz w:val="16"/>
              </w:rPr>
              <w:t>Prime-factor graph</w:t>
            </w:r>
          </w:p>
        </w:tc>
        <w:tc>
          <w:tcPr>
            <w:tcW w:type="dxa" w:w="4896"/>
            <w:vAlign w:val="center"/>
          </w:tcPr>
          <w:p>
            <w:pPr>
              <w:spacing w:after="40" w:before="40"/>
            </w:pPr>
            <w:r>
              <w:rPr>
                <w:sz w:val="16"/>
              </w:rPr>
              <w:t>Inherited certificates, multiplicative relationships and caches</w:t>
            </w:r>
          </w:p>
        </w:tc>
      </w:tr>
      <w:tr>
        <w:trPr>
          <w:cantSplit/>
        </w:trPr>
        <w:tc>
          <w:tcPr>
            <w:tcW w:type="dxa" w:w="4896"/>
            <w:vAlign w:val="center"/>
          </w:tcPr>
          <w:p>
            <w:pPr>
              <w:spacing w:after="40" w:before="40"/>
            </w:pPr>
            <w:r>
              <w:rPr>
                <w:sz w:val="16"/>
              </w:rPr>
              <w:t>3D placement</w:t>
            </w:r>
          </w:p>
        </w:tc>
        <w:tc>
          <w:tcPr>
            <w:tcW w:type="dxa" w:w="4896"/>
            <w:vAlign w:val="center"/>
          </w:tcPr>
          <w:p>
            <w:pPr>
              <w:spacing w:after="40" w:before="40"/>
            </w:pPr>
            <w:r>
              <w:rPr>
                <w:sz w:val="16"/>
              </w:rPr>
              <w:t>Cubic placement and spherical expansion as testable hybrid components</w:t>
            </w:r>
          </w:p>
        </w:tc>
      </w:tr>
      <w:tr>
        <w:trPr>
          <w:cantSplit/>
        </w:trPr>
        <w:tc>
          <w:tcPr>
            <w:tcW w:type="dxa" w:w="4896"/>
            <w:vAlign w:val="center"/>
          </w:tcPr>
          <w:p>
            <w:pPr>
              <w:spacing w:after="40" w:before="40"/>
            </w:pPr>
            <w:r>
              <w:rPr>
                <w:sz w:val="16"/>
              </w:rPr>
              <w:t>4D dynamics</w:t>
            </w:r>
          </w:p>
        </w:tc>
        <w:tc>
          <w:tcPr>
            <w:tcW w:type="dxa" w:w="4896"/>
            <w:vAlign w:val="center"/>
          </w:tcPr>
          <w:p>
            <w:pPr>
              <w:spacing w:after="40" w:before="40"/>
            </w:pPr>
            <w:r>
              <w:rPr>
                <w:sz w:val="16"/>
              </w:rPr>
              <w:t>Separate elapsed time τ from generation index t; Fourier and feedback</w:t>
            </w:r>
          </w:p>
        </w:tc>
      </w:tr>
      <w:tr>
        <w:trPr>
          <w:cantSplit/>
        </w:trPr>
        <w:tc>
          <w:tcPr>
            <w:tcW w:type="dxa" w:w="4896"/>
            <w:vAlign w:val="center"/>
          </w:tcPr>
          <w:p>
            <w:pPr>
              <w:spacing w:after="40" w:before="40"/>
            </w:pPr>
            <w:r>
              <w:rPr>
                <w:sz w:val="16"/>
              </w:rPr>
              <w:t>HQ memory</w:t>
            </w:r>
          </w:p>
        </w:tc>
        <w:tc>
          <w:tcPr>
            <w:tcW w:type="dxa" w:w="4896"/>
            <w:vAlign w:val="center"/>
          </w:tcPr>
          <w:p>
            <w:pPr>
              <w:spacing w:after="40" w:before="40"/>
            </w:pPr>
            <w:r>
              <w:rPr>
                <w:sz w:val="16"/>
              </w:rPr>
              <w:t>Inherited state, design updates, time/coordination/entropy cost</w:t>
            </w:r>
          </w:p>
        </w:tc>
      </w:tr>
    </w:tbl>
    <w:p>
      <w:pPr>
        <w:spacing w:after="0"/>
      </w:pPr>
    </w:p>
    <w:p>
      <w:pPr>
        <w:pStyle w:val="Heading1"/>
      </w:pPr>
      <w:r>
        <w:t>Non-negotiable mathematical constraints</w:t>
      </w:r>
    </w:p>
    <w:p>
      <w:pPr>
        <w:pStyle w:val="ListBullet"/>
      </w:pPr>
      <w:r>
        <w:t>The build implements representations of mathematical numbers; it does not create their mathematical existence.</w:t>
      </w:r>
    </w:p>
    <w:p>
      <w:pPr>
        <w:pStyle w:val="ListBullet"/>
      </w:pPr>
      <w:r>
        <w:t>Infinity means no fixed finite extension limit, not completion of infinitely many individual markers in finite time.</w:t>
      </w:r>
    </w:p>
    <w:p>
      <w:pPr>
        <w:pStyle w:val="ListBullet"/>
      </w:pPr>
      <w:r>
        <w:t>Integer markers alone do not implement the real continuum: representation and completion rules are additional.</w:t>
      </w:r>
    </w:p>
    <w:p>
      <w:pPr>
        <w:pStyle w:val="ListBullet"/>
      </w:pPr>
      <w:r>
        <w:t>The leg count k need not be prime; prime-labelled individual legs do not imply stride equals prime value.</w:t>
      </w:r>
    </w:p>
    <w:p>
      <w:pPr>
        <w:pStyle w:val="ListBullet"/>
      </w:pPr>
      <w:r>
        <w:t>Report wall-time, operation count, communication, re-layout, coordination and validation separately.</w:t>
      </w:r>
    </w:p>
    <w:p>
      <w:pPr>
        <w:pStyle w:val="Heading1"/>
      </w:pPr>
      <w:r>
        <w:t>Next engineering milestones</w:t>
      </w:r>
    </w:p>
    <w:p>
      <w:pPr>
        <w:pStyle w:val="ListBullet"/>
      </w:pPr>
      <w:r>
        <w:t>M1 Implement successor marking with genuinely inherited arithmetic certificates.</w:t>
      </w:r>
    </w:p>
    <w:p>
      <w:pPr>
        <w:pStyle w:val="ListBullet"/>
      </w:pPr>
      <w:r>
        <w:t>M2 Introduce in-flight feedback using distance remaining to a known target.</w:t>
      </w:r>
    </w:p>
    <w:p>
      <w:pPr>
        <w:pStyle w:val="ListBullet"/>
      </w:pPr>
      <w:r>
        <w:t>M3 Compare prime/composite/shuffled leg labels and 1–10-second vs 1–1M-target experiments.</w:t>
      </w:r>
    </w:p>
    <w:p>
      <w:pPr>
        <w:pStyle w:val="ListBullet"/>
      </w:pPr>
      <w:r>
        <w:t>M4 Compare cubic/spherical/hybrid layouts under identical certified workloads.</w:t>
      </w:r>
    </w:p>
    <w:p>
      <w:pPr>
        <w:pStyle w:val="ListBullet"/>
      </w:pPr>
      <w:r>
        <w:t>M5 Compare physical return, information-only relay and distributed HQ, including generational learning.</w:t>
      </w:r>
    </w:p>
    <w:p>
      <w:pPr>
        <w:pStyle w:val="Heading1"/>
      </w:pPr>
      <w:r>
        <w:t>Research programme retained from v0.6</w:t>
      </w:r>
    </w:p>
    <w:p>
      <w:pPr>
        <w:pStyle w:val="Heading1"/>
      </w:pPr>
      <w:r>
        <w:t>0. Document purpose</w:t>
      </w:r>
    </w:p>
    <w:p>
      <w:r>
        <w:t>This is the technical companion to Research Proposal v0.6. It consolidates model assumptions, actual recorded computations and outstanding gaps. None of the simulations is empirical evidence for a physical cosmos or a new prime law. The task remains building integer stepping stones, not searching for primes.</w:t>
      </w:r>
    </w:p>
    <w:p>
      <w:pPr>
        <w:pStyle w:val="Heading1"/>
      </w:pPr>
      <w:r>
        <w:t>1. Experiment lineage</w:t>
      </w:r>
    </w:p>
    <w:tbl>
      <w:tblPr>
        <w:tblStyle w:val="LightShading-Accent1"/>
        <w:tblW w:type="auto" w:w="0"/>
        <w:jc w:val="center"/>
        <w:tblLook w:firstColumn="1" w:firstRow="1" w:lastColumn="0" w:lastRow="0" w:noHBand="0" w:noVBand="1" w:val="04A0"/>
      </w:tblPr>
      <w:tblGrid>
        <w:gridCol w:w="3264"/>
        <w:gridCol w:w="3264"/>
        <w:gridCol w:w="3264"/>
      </w:tblGrid>
      <w:tr>
        <w:trPr>
          <w:cantSplit/>
        </w:trPr>
        <w:tc>
          <w:tcPr>
            <w:tcW w:type="dxa" w:w="3264"/>
            <w:shd w:fill="EAF2F2"/>
          </w:tcPr>
          <w:p>
            <w:r>
              <w:rPr>
                <w:b/>
                <w:color w:val="12676F"/>
                <w:sz w:val="16"/>
              </w:rPr>
              <w:t>Version</w:t>
            </w:r>
          </w:p>
        </w:tc>
        <w:tc>
          <w:tcPr>
            <w:tcW w:type="dxa" w:w="3264"/>
            <w:shd w:fill="EAF2F2"/>
          </w:tcPr>
          <w:p>
            <w:r>
              <w:rPr>
                <w:b/>
                <w:color w:val="12676F"/>
                <w:sz w:val="16"/>
              </w:rPr>
              <w:t>Coverage</w:t>
            </w:r>
          </w:p>
        </w:tc>
        <w:tc>
          <w:tcPr>
            <w:tcW w:type="dxa" w:w="3264"/>
            <w:shd w:fill="EAF2F2"/>
          </w:tcPr>
          <w:p>
            <w:r>
              <w:rPr>
                <w:b/>
                <w:color w:val="12676F"/>
                <w:sz w:val="16"/>
              </w:rPr>
              <w:t>Assumption or purpose</w:t>
            </w:r>
          </w:p>
        </w:tc>
      </w:tr>
      <w:tr>
        <w:trPr>
          <w:cantSplit/>
        </w:trPr>
        <w:tc>
          <w:tcPr>
            <w:tcW w:type="dxa" w:w="3264"/>
            <w:vAlign w:val="center"/>
          </w:tcPr>
          <w:p>
            <w:pPr>
              <w:spacing w:after="40" w:before="40"/>
            </w:pPr>
            <w:r>
              <w:rPr>
                <w:sz w:val="16"/>
              </w:rPr>
              <w:t>0.2</w:t>
            </w:r>
          </w:p>
        </w:tc>
        <w:tc>
          <w:tcPr>
            <w:tcW w:type="dxa" w:w="3264"/>
            <w:vAlign w:val="center"/>
          </w:tcPr>
          <w:p>
            <w:pPr>
              <w:spacing w:after="40" w:before="40"/>
            </w:pPr>
            <w:r>
              <w:rPr>
                <w:sz w:val="16"/>
              </w:rPr>
              <w:t>1 / 5 / 10 seconds</w:t>
            </w:r>
          </w:p>
        </w:tc>
        <w:tc>
          <w:tcPr>
            <w:tcW w:type="dxa" w:w="3264"/>
            <w:vAlign w:val="center"/>
          </w:tcPr>
          <w:p>
            <w:pPr>
              <w:spacing w:after="40" w:before="40"/>
            </w:pPr>
            <w:r>
              <w:rPr>
                <w:sz w:val="16"/>
              </w:rPr>
              <w:t>Hypothetical distance × cadence, coordination and queueing</w:t>
            </w:r>
          </w:p>
        </w:tc>
      </w:tr>
      <w:tr>
        <w:trPr>
          <w:cantSplit/>
        </w:trPr>
        <w:tc>
          <w:tcPr>
            <w:tcW w:type="dxa" w:w="3264"/>
            <w:vAlign w:val="center"/>
          </w:tcPr>
          <w:p>
            <w:pPr>
              <w:spacing w:after="40" w:before="40"/>
            </w:pPr>
            <w:r>
              <w:rPr>
                <w:sz w:val="16"/>
              </w:rPr>
              <w:t>0.3</w:t>
            </w:r>
          </w:p>
        </w:tc>
        <w:tc>
          <w:tcPr>
            <w:tcW w:type="dxa" w:w="3264"/>
            <w:vAlign w:val="center"/>
          </w:tcPr>
          <w:p>
            <w:pPr>
              <w:spacing w:after="40" w:before="40"/>
            </w:pPr>
            <w:r>
              <w:rPr>
                <w:sz w:val="16"/>
              </w:rPr>
              <w:t>n=2..100</w:t>
            </w:r>
          </w:p>
        </w:tc>
        <w:tc>
          <w:tcPr>
            <w:tcW w:type="dxa" w:w="3264"/>
            <w:vAlign w:val="center"/>
          </w:tcPr>
          <w:p>
            <w:pPr>
              <w:spacing w:after="40" w:before="40"/>
            </w:pPr>
            <w:r>
              <w:rPr>
                <w:sz w:val="16"/>
              </w:rPr>
              <w:t>Known targets, prime-labelled leg = stride as a toy assumption</w:t>
            </w:r>
          </w:p>
        </w:tc>
      </w:tr>
      <w:tr>
        <w:trPr>
          <w:cantSplit/>
        </w:trPr>
        <w:tc>
          <w:tcPr>
            <w:tcW w:type="dxa" w:w="3264"/>
            <w:vAlign w:val="center"/>
          </w:tcPr>
          <w:p>
            <w:pPr>
              <w:spacing w:after="40" w:before="40"/>
            </w:pPr>
            <w:r>
              <w:rPr>
                <w:sz w:val="16"/>
              </w:rPr>
              <w:t>0.4</w:t>
            </w:r>
          </w:p>
        </w:tc>
        <w:tc>
          <w:tcPr>
            <w:tcW w:type="dxa" w:w="3264"/>
            <w:vAlign w:val="center"/>
          </w:tcPr>
          <w:p>
            <w:pPr>
              <w:spacing w:after="40" w:before="40"/>
            </w:pPr>
            <w:r>
              <w:rPr>
                <w:sz w:val="16"/>
              </w:rPr>
              <w:t>n=2..100</w:t>
            </w:r>
          </w:p>
        </w:tc>
        <w:tc>
          <w:tcPr>
            <w:tcW w:type="dxa" w:w="3264"/>
            <w:vAlign w:val="center"/>
          </w:tcPr>
          <w:p>
            <w:pPr>
              <w:spacing w:after="40" w:before="40"/>
            </w:pPr>
            <w:r>
              <w:rPr>
                <w:sz w:val="16"/>
              </w:rPr>
              <w:t>No prime stride; rectified sine propulsion and separate Fourier divisibility</w:t>
            </w:r>
          </w:p>
        </w:tc>
      </w:tr>
      <w:tr>
        <w:trPr>
          <w:cantSplit/>
        </w:trPr>
        <w:tc>
          <w:tcPr>
            <w:tcW w:type="dxa" w:w="3264"/>
            <w:vAlign w:val="center"/>
          </w:tcPr>
          <w:p>
            <w:pPr>
              <w:spacing w:after="40" w:before="40"/>
            </w:pPr>
            <w:r>
              <w:rPr>
                <w:sz w:val="16"/>
              </w:rPr>
              <w:t>0.5</w:t>
            </w:r>
          </w:p>
        </w:tc>
        <w:tc>
          <w:tcPr>
            <w:tcW w:type="dxa" w:w="3264"/>
            <w:vAlign w:val="center"/>
          </w:tcPr>
          <w:p>
            <w:pPr>
              <w:spacing w:after="40" w:before="40"/>
            </w:pPr>
            <w:r>
              <w:rPr>
                <w:sz w:val="16"/>
              </w:rPr>
              <w:t>n=2..1,000,000</w:t>
            </w:r>
          </w:p>
        </w:tc>
        <w:tc>
          <w:tcPr>
            <w:tcW w:type="dxa" w:w="3264"/>
            <w:vAlign w:val="center"/>
          </w:tcPr>
          <w:p>
            <w:pPr>
              <w:spacing w:after="40" w:before="40"/>
            </w:pPr>
            <w:r>
              <w:rPr>
                <w:sz w:val="16"/>
              </w:rPr>
              <w:t>Same 0.4 rules scaled to one million targets</w:t>
            </w:r>
          </w:p>
        </w:tc>
      </w:tr>
      <w:tr>
        <w:trPr>
          <w:cantSplit/>
        </w:trPr>
        <w:tc>
          <w:tcPr>
            <w:tcW w:type="dxa" w:w="3264"/>
            <w:vAlign w:val="center"/>
          </w:tcPr>
          <w:p>
            <w:pPr>
              <w:spacing w:after="40" w:before="40"/>
            </w:pPr>
            <w:r>
              <w:rPr>
                <w:sz w:val="16"/>
              </w:rPr>
              <w:t>0.6</w:t>
            </w:r>
          </w:p>
        </w:tc>
        <w:tc>
          <w:tcPr>
            <w:tcW w:type="dxa" w:w="3264"/>
            <w:vAlign w:val="center"/>
          </w:tcPr>
          <w:p>
            <w:pPr>
              <w:spacing w:after="40" w:before="40"/>
            </w:pPr>
            <w:r>
              <w:rPr>
                <w:sz w:val="16"/>
              </w:rPr>
              <w:t>1 / 5 / 10 seconds</w:t>
            </w:r>
          </w:p>
        </w:tc>
        <w:tc>
          <w:tcPr>
            <w:tcW w:type="dxa" w:w="3264"/>
            <w:vAlign w:val="center"/>
          </w:tcPr>
          <w:p>
            <w:pPr>
              <w:spacing w:after="40" w:before="40"/>
            </w:pPr>
            <w:r>
              <w:rPr>
                <w:sz w:val="16"/>
              </w:rPr>
              <w:t>Phase disturbances and local in-flight feedback</w:t>
            </w:r>
          </w:p>
        </w:tc>
      </w:tr>
      <w:tr>
        <w:trPr>
          <w:cantSplit/>
        </w:trPr>
        <w:tc>
          <w:tcPr>
            <w:tcW w:type="dxa" w:w="3264"/>
            <w:vAlign w:val="center"/>
          </w:tcPr>
          <w:p>
            <w:pPr>
              <w:spacing w:after="40" w:before="40"/>
            </w:pPr>
            <w:r>
              <w:rPr>
                <w:sz w:val="16"/>
              </w:rPr>
              <w:t>0.6.1</w:t>
            </w:r>
          </w:p>
        </w:tc>
        <w:tc>
          <w:tcPr>
            <w:tcW w:type="dxa" w:w="3264"/>
            <w:vAlign w:val="center"/>
          </w:tcPr>
          <w:p>
            <w:pPr>
              <w:spacing w:after="40" w:before="40"/>
            </w:pPr>
            <w:r>
              <w:rPr>
                <w:sz w:val="16"/>
              </w:rPr>
              <w:t>1 / 5 / 10 seconds</w:t>
            </w:r>
          </w:p>
        </w:tc>
        <w:tc>
          <w:tcPr>
            <w:tcW w:type="dxa" w:w="3264"/>
            <w:vAlign w:val="center"/>
          </w:tcPr>
          <w:p>
            <w:pPr>
              <w:spacing w:after="40" w:before="40"/>
            </w:pPr>
            <w:r>
              <w:rPr>
                <w:sz w:val="16"/>
              </w:rPr>
              <w:t>Independent coordination cost and feedback control price</w:t>
            </w:r>
          </w:p>
        </w:tc>
      </w:tr>
    </w:tbl>
    <w:p>
      <w:pPr>
        <w:spacing w:after="0"/>
      </w:pPr>
    </w:p>
    <w:p>
      <w:pPr>
        <w:pStyle w:val="Heading1"/>
      </w:pPr>
      <w:r>
        <w:t>2. Gait Lab 0.3: destination-aware trial</w:t>
      </w:r>
    </w:p>
    <w:p>
      <w:r>
        <w:t>The known target n determines each journey origin → n−1 → mandatory final +1 to n, with optional return. The solver compared 209 multiset architectures (1–4 legs, primes 2, 3, 5, 7, 11 and 13, with repetition).</w:t>
      </w:r>
    </w:p>
    <w:p>
      <w:r>
        <w:t>Crucial assumption: each active leg contributes its numerical prime label directly to forward displacement in each pulse. This is not a derived leg physics. A separate fine +1 adjustment was also allowed during transit.</w:t>
      </w:r>
    </w:p>
    <w:p>
      <w:r>
        <w:t>Under the illustrative medium-coordination, inherited-catalogue, round-trip condition, the best architecture had one leg for 19/99 targets and two for 80/99. Aggregate time improved by about 29.6% versus the best permitted one-leg design for each target. Preloaded versus inherited prime catalogues were compared.</w:t>
      </w:r>
    </w:p>
    <w:p>
      <w:pPr>
        <w:pStyle w:val="Heading1"/>
      </w:pPr>
      <w:r>
        <w:t>3. Fourier Lab 0.4: no assumed prime strides</w:t>
      </w:r>
    </w:p>
    <w:p>
      <w:r>
        <w:t>The candidate catalogue contains 2,924 architectures with 1–3 legs, frequencies 1–6 Hz and four initial phase offsets. An activation aᵢ(τ)=max(0,sin(2πfᵢτ+φᵢ)) feeds a hypothetical rectified propulsion law.</w:t>
      </w:r>
    </w:p>
    <w:p>
      <w:r>
        <w:t>Among 99 destinations the default model selected one leg 12 times, two legs 87 times and three legs zero times. Most selected active frequencies were 1Hz. Since primality and prime labels never enter the propulsion function, no prime-specific gait can be inferred.</w:t>
      </w:r>
    </w:p>
    <w:p>
      <w:r>
        <w:t>A separate roots-of-unity identity δ_q(n)=(1/q)Σ_r exp(2πirn/q) reproduces whether q divides n. It is exact standard Fourier arithmetic and can represent primality checking over q≤√n, but does not explain how locomotion would generate arithmetic structure.</w:t>
      </w:r>
    </w:p>
    <w:p>
      <w:pPr>
        <w:pStyle w:val="Heading1"/>
      </w:pPr>
      <w:r>
        <w:t>4. Scale Lab 0.5: results to one million</w:t>
      </w:r>
    </w:p>
    <w:p>
      <w:r>
        <w:t>The 0.4 propulsion and cost laws were unchanged across destinations 2…1,000,000 (999,999 cases), with 2,924 candidate gaits per destination. The optimised search was cross-checked by 409 exhaustive targets, including the original 99.</w:t>
      </w:r>
    </w:p>
    <w:p>
      <w:r>
        <w:t>Default winner counts: one leg 12, two legs 999,987, three legs zero. At n≥40 only two opposite-phase 1Hz two-leg gaits won. Six distinct winners appeared in total. Total model time was 21.51% below the sum of destination-specific one-leg baselines.</w:t>
      </w:r>
    </w:p>
    <w:p>
      <w:r>
        <w:t>Under a strictly serial origin-roundtrip relay, the total is approximately 246,583,683,620 model seconds, equivalent to 7,814 notional model-years at ordinary unit conversion. This is not empirical physical time; it exposes the cumulative distance bottleneck.</w:t>
      </w:r>
    </w:p>
    <w:p>
      <w:r>
        <w:t>Prime/composite status was computed separately and was not used by the optimiser. No prime-specific transition emerged. Changing management cost can make one, two or three legs optimal at long range.</w:t>
      </w:r>
    </w:p>
    <w:p>
      <w:pPr>
        <w:pStyle w:val="Heading1"/>
      </w:pPr>
      <w:r>
        <w:t>5. Feedback 0.6 and coordination 0.6.1</w:t>
      </w:r>
    </w:p>
    <w:p>
      <w:r>
        <w:t>Feedback 0.6 added phase kicks at 0.75, 3 and 7 seconds and corrective angular velocities. In one illustrative 10-second two-leg comparison, fixed gait travelled 43.32 units, adaptive gait 44.92 units and undisturbed gait 45.01 units. This is phase-recovery in a synthetic controller, not prime-related motion.</w:t>
      </w:r>
    </w:p>
    <w:p>
      <w:r>
        <w:t>Lab 0.6.1 separately prices pairwise coordination η and feedback-control effort. The coordination charge includes connected leg-pair time and accumulated phase mismatch. It changes the adjusted score but does not itself physically reduce the propulsion speed.</w:t>
      </w:r>
    </w:p>
    <w:p>
      <w:r>
        <w:t>Neither current feedback lab implements feedback from the known remaining destination, inherited full integer certificates, 3D spatial rearrangement, homeward optimisation or learning of the HQ design rule across unicorn generations.</w:t>
      </w:r>
    </w:p>
    <w:p>
      <w:pPr>
        <w:pStyle w:val="Heading1"/>
      </w:pPr>
      <w:r>
        <w:t>6. Revised model and missing components</w:t>
      </w:r>
    </w:p>
    <w:tbl>
      <w:tblPr>
        <w:tblStyle w:val="LightShading-Accent1"/>
        <w:tblW w:type="auto" w:w="0"/>
        <w:jc w:val="center"/>
        <w:tblLook w:firstColumn="1" w:firstRow="1" w:lastColumn="0" w:lastRow="0" w:noHBand="0" w:noVBand="1" w:val="04A0"/>
      </w:tblPr>
      <w:tblGrid>
        <w:gridCol w:w="3264"/>
        <w:gridCol w:w="3264"/>
        <w:gridCol w:w="3264"/>
      </w:tblGrid>
      <w:tr>
        <w:trPr>
          <w:cantSplit/>
        </w:trPr>
        <w:tc>
          <w:tcPr>
            <w:tcW w:type="dxa" w:w="3264"/>
            <w:shd w:fill="EAF2F2"/>
          </w:tcPr>
          <w:p>
            <w:r>
              <w:rPr>
                <w:b/>
                <w:color w:val="12676F"/>
                <w:sz w:val="16"/>
              </w:rPr>
              <w:t>Component</w:t>
            </w:r>
          </w:p>
        </w:tc>
        <w:tc>
          <w:tcPr>
            <w:tcW w:type="dxa" w:w="3264"/>
            <w:shd w:fill="EAF2F2"/>
          </w:tcPr>
          <w:p>
            <w:r>
              <w:rPr>
                <w:b/>
                <w:color w:val="12676F"/>
                <w:sz w:val="16"/>
              </w:rPr>
              <w:t>Implemented now</w:t>
            </w:r>
          </w:p>
        </w:tc>
        <w:tc>
          <w:tcPr>
            <w:tcW w:type="dxa" w:w="3264"/>
            <w:shd w:fill="EAF2F2"/>
          </w:tcPr>
          <w:p>
            <w:r>
              <w:rPr>
                <w:b/>
                <w:color w:val="12676F"/>
                <w:sz w:val="16"/>
              </w:rPr>
              <w:t>Required next</w:t>
            </w:r>
          </w:p>
        </w:tc>
      </w:tr>
      <w:tr>
        <w:trPr>
          <w:cantSplit/>
        </w:trPr>
        <w:tc>
          <w:tcPr>
            <w:tcW w:type="dxa" w:w="3264"/>
            <w:vAlign w:val="center"/>
          </w:tcPr>
          <w:p>
            <w:pPr>
              <w:spacing w:after="40" w:before="40"/>
            </w:pPr>
            <w:r>
              <w:rPr>
                <w:sz w:val="16"/>
              </w:rPr>
              <w:t>Known target</w:t>
            </w:r>
          </w:p>
        </w:tc>
        <w:tc>
          <w:tcPr>
            <w:tcW w:type="dxa" w:w="3264"/>
            <w:vAlign w:val="center"/>
          </w:tcPr>
          <w:p>
            <w:pPr>
              <w:spacing w:after="40" w:before="40"/>
            </w:pPr>
            <w:r>
              <w:rPr>
                <w:sz w:val="16"/>
              </w:rPr>
              <w:t>0.3–0.5 destination selection</w:t>
            </w:r>
          </w:p>
        </w:tc>
        <w:tc>
          <w:tcPr>
            <w:tcW w:type="dxa" w:w="3264"/>
            <w:vAlign w:val="center"/>
          </w:tcPr>
          <w:p>
            <w:pPr>
              <w:spacing w:after="40" w:before="40"/>
            </w:pPr>
            <w:r>
              <w:rPr>
                <w:sz w:val="16"/>
              </w:rPr>
              <w:t>Feedback from remaining distance</w:t>
            </w:r>
          </w:p>
        </w:tc>
      </w:tr>
      <w:tr>
        <w:trPr>
          <w:cantSplit/>
        </w:trPr>
        <w:tc>
          <w:tcPr>
            <w:tcW w:type="dxa" w:w="3264"/>
            <w:vAlign w:val="center"/>
          </w:tcPr>
          <w:p>
            <w:pPr>
              <w:spacing w:after="40" w:before="40"/>
            </w:pPr>
            <w:r>
              <w:rPr>
                <w:sz w:val="16"/>
              </w:rPr>
              <w:t>Inherited checksum</w:t>
            </w:r>
          </w:p>
        </w:tc>
        <w:tc>
          <w:tcPr>
            <w:tcW w:type="dxa" w:w="3264"/>
            <w:vAlign w:val="center"/>
          </w:tcPr>
          <w:p>
            <w:pPr>
              <w:spacing w:after="40" w:before="40"/>
            </w:pPr>
            <w:r>
              <w:rPr>
                <w:sz w:val="16"/>
              </w:rPr>
              <w:t>Concept only</w:t>
            </w:r>
          </w:p>
        </w:tc>
        <w:tc>
          <w:tcPr>
            <w:tcW w:type="dxa" w:w="3264"/>
            <w:vAlign w:val="center"/>
          </w:tcPr>
          <w:p>
            <w:pPr>
              <w:spacing w:after="40" w:before="40"/>
            </w:pPr>
            <w:r>
              <w:rPr>
                <w:sz w:val="16"/>
              </w:rPr>
              <w:t>Cache certificates and validate complete prefix</w:t>
            </w:r>
          </w:p>
        </w:tc>
      </w:tr>
      <w:tr>
        <w:trPr>
          <w:cantSplit/>
        </w:trPr>
        <w:tc>
          <w:tcPr>
            <w:tcW w:type="dxa" w:w="3264"/>
            <w:vAlign w:val="center"/>
          </w:tcPr>
          <w:p>
            <w:pPr>
              <w:spacing w:after="40" w:before="40"/>
            </w:pPr>
            <w:r>
              <w:rPr>
                <w:sz w:val="16"/>
              </w:rPr>
              <w:t>Leg identity</w:t>
            </w:r>
          </w:p>
        </w:tc>
        <w:tc>
          <w:tcPr>
            <w:tcW w:type="dxa" w:w="3264"/>
            <w:vAlign w:val="center"/>
          </w:tcPr>
          <w:p>
            <w:pPr>
              <w:spacing w:after="40" w:before="40"/>
            </w:pPr>
            <w:r>
              <w:rPr>
                <w:sz w:val="16"/>
              </w:rPr>
              <w:t>0.3 assumes prime=stride</w:t>
            </w:r>
          </w:p>
        </w:tc>
        <w:tc>
          <w:tcPr>
            <w:tcW w:type="dxa" w:w="3264"/>
            <w:vAlign w:val="center"/>
          </w:tcPr>
          <w:p>
            <w:pPr>
              <w:spacing w:after="40" w:before="40"/>
            </w:pPr>
            <w:r>
              <w:rPr>
                <w:sz w:val="16"/>
              </w:rPr>
              <w:t>Prime-blind, composite and shuffled controls</w:t>
            </w:r>
          </w:p>
        </w:tc>
      </w:tr>
      <w:tr>
        <w:trPr>
          <w:cantSplit/>
        </w:trPr>
        <w:tc>
          <w:tcPr>
            <w:tcW w:type="dxa" w:w="3264"/>
            <w:vAlign w:val="center"/>
          </w:tcPr>
          <w:p>
            <w:pPr>
              <w:spacing w:after="40" w:before="40"/>
            </w:pPr>
            <w:r>
              <w:rPr>
                <w:sz w:val="16"/>
              </w:rPr>
              <w:t>Final +1</w:t>
            </w:r>
          </w:p>
        </w:tc>
        <w:tc>
          <w:tcPr>
            <w:tcW w:type="dxa" w:w="3264"/>
            <w:vAlign w:val="center"/>
          </w:tcPr>
          <w:p>
            <w:pPr>
              <w:spacing w:after="40" w:before="40"/>
            </w:pPr>
            <w:r>
              <w:rPr>
                <w:sz w:val="16"/>
              </w:rPr>
              <w:t>Marker action in route</w:t>
            </w:r>
          </w:p>
        </w:tc>
        <w:tc>
          <w:tcPr>
            <w:tcW w:type="dxa" w:w="3264"/>
            <w:vAlign w:val="center"/>
          </w:tcPr>
          <w:p>
            <w:pPr>
              <w:spacing w:after="40" w:before="40"/>
            </w:pPr>
            <w:r>
              <w:rPr>
                <w:sz w:val="16"/>
              </w:rPr>
              <w:t>Certificate timing, deferred intervals</w:t>
            </w:r>
          </w:p>
        </w:tc>
      </w:tr>
      <w:tr>
        <w:trPr>
          <w:cantSplit/>
        </w:trPr>
        <w:tc>
          <w:tcPr>
            <w:tcW w:type="dxa" w:w="3264"/>
            <w:vAlign w:val="center"/>
          </w:tcPr>
          <w:p>
            <w:pPr>
              <w:spacing w:after="40" w:before="40"/>
            </w:pPr>
            <w:r>
              <w:rPr>
                <w:sz w:val="16"/>
              </w:rPr>
              <w:t>Generational HQ</w:t>
            </w:r>
          </w:p>
        </w:tc>
        <w:tc>
          <w:tcPr>
            <w:tcW w:type="dxa" w:w="3264"/>
            <w:vAlign w:val="center"/>
          </w:tcPr>
          <w:p>
            <w:pPr>
              <w:spacing w:after="40" w:before="40"/>
            </w:pPr>
            <w:r>
              <w:rPr>
                <w:sz w:val="16"/>
              </w:rPr>
              <w:t>No intergeneration learning</w:t>
            </w:r>
          </w:p>
        </w:tc>
        <w:tc>
          <w:tcPr>
            <w:tcW w:type="dxa" w:w="3264"/>
            <w:vAlign w:val="center"/>
          </w:tcPr>
          <w:p>
            <w:pPr>
              <w:spacing w:after="40" w:before="40"/>
            </w:pPr>
            <w:r>
              <w:rPr>
                <w:sz w:val="16"/>
              </w:rPr>
              <w:t>Design-rule updates and birth costs</w:t>
            </w:r>
          </w:p>
        </w:tc>
      </w:tr>
      <w:tr>
        <w:trPr>
          <w:cantSplit/>
        </w:trPr>
        <w:tc>
          <w:tcPr>
            <w:tcW w:type="dxa" w:w="3264"/>
            <w:vAlign w:val="center"/>
          </w:tcPr>
          <w:p>
            <w:pPr>
              <w:spacing w:after="40" w:before="40"/>
            </w:pPr>
            <w:r>
              <w:rPr>
                <w:sz w:val="16"/>
              </w:rPr>
              <w:t>3D/4D geometry</w:t>
            </w:r>
          </w:p>
        </w:tc>
        <w:tc>
          <w:tcPr>
            <w:tcW w:type="dxa" w:w="3264"/>
            <w:vAlign w:val="center"/>
          </w:tcPr>
          <w:p>
            <w:pPr>
              <w:spacing w:after="40" w:before="40"/>
            </w:pPr>
            <w:r>
              <w:rPr>
                <w:sz w:val="16"/>
              </w:rPr>
              <w:t>Conceptual comparisons</w:t>
            </w:r>
          </w:p>
        </w:tc>
        <w:tc>
          <w:tcPr>
            <w:tcW w:type="dxa" w:w="3264"/>
            <w:vAlign w:val="center"/>
          </w:tcPr>
          <w:p>
            <w:pPr>
              <w:spacing w:after="40" w:before="40"/>
            </w:pPr>
            <w:r>
              <w:rPr>
                <w:sz w:val="16"/>
              </w:rPr>
              <w:t>Concrete placement, movement and relayout</w:t>
            </w:r>
          </w:p>
        </w:tc>
      </w:tr>
      <w:tr>
        <w:trPr>
          <w:cantSplit/>
        </w:trPr>
        <w:tc>
          <w:tcPr>
            <w:tcW w:type="dxa" w:w="3264"/>
            <w:vAlign w:val="center"/>
          </w:tcPr>
          <w:p>
            <w:pPr>
              <w:spacing w:after="40" w:before="40"/>
            </w:pPr>
            <w:r>
              <w:rPr>
                <w:sz w:val="16"/>
              </w:rPr>
              <w:t>Entropy</w:t>
            </w:r>
          </w:p>
        </w:tc>
        <w:tc>
          <w:tcPr>
            <w:tcW w:type="dxa" w:w="3264"/>
            <w:vAlign w:val="center"/>
          </w:tcPr>
          <w:p>
            <w:pPr>
              <w:spacing w:after="40" w:before="40"/>
            </w:pPr>
            <w:r>
              <w:rPr>
                <w:sz w:val="16"/>
              </w:rPr>
              <w:t>No specified ensemble</w:t>
            </w:r>
          </w:p>
        </w:tc>
        <w:tc>
          <w:tcPr>
            <w:tcW w:type="dxa" w:w="3264"/>
            <w:vAlign w:val="center"/>
          </w:tcPr>
          <w:p>
            <w:pPr>
              <w:spacing w:after="40" w:before="40"/>
            </w:pPr>
            <w:r>
              <w:rPr>
                <w:sz w:val="16"/>
              </w:rPr>
              <w:t>Separate information and thermodynamic measures</w:t>
            </w:r>
          </w:p>
        </w:tc>
      </w:tr>
    </w:tbl>
    <w:p>
      <w:pPr>
        <w:spacing w:after="0"/>
      </w:pPr>
    </w:p>
    <w:p>
      <w:pPr>
        <w:pStyle w:val="Heading1"/>
      </w:pPr>
      <w:r>
        <w:t>7. Next experimental controls</w:t>
      </w:r>
    </w:p>
    <w:p>
      <w:pPr>
        <w:pStyle w:val="ListBullet"/>
      </w:pPr>
      <w:r>
        <w:t>A — Fixed versus adaptive destination-aware feedback using equal propulsion rules.</w:t>
      </w:r>
    </w:p>
    <w:p>
      <w:pPr>
        <w:pStyle w:val="ListBullet"/>
      </w:pPr>
      <w:r>
        <w:t>B — Prime, composite and shuffled leg labels under identical mechanics.</w:t>
      </w:r>
    </w:p>
    <w:p>
      <w:pPr>
        <w:pStyle w:val="ListBullet"/>
      </w:pPr>
      <w:r>
        <w:t>C — Re-factor-the-whole-prefix audit versus inherited certificate verification.</w:t>
      </w:r>
    </w:p>
    <w:p>
      <w:pPr>
        <w:pStyle w:val="ListBullet"/>
      </w:pPr>
      <w:r>
        <w:t>D — Physical return versus information-only handover versus distributed HQ.</w:t>
      </w:r>
    </w:p>
    <w:p>
      <w:pPr>
        <w:pStyle w:val="ListBullet"/>
      </w:pPr>
      <w:r>
        <w:t>E — Cube, sphere and hybrid under equal arithmetic workload, relayout and communication costs.</w:t>
      </w:r>
    </w:p>
    <w:p>
      <w:pPr>
        <w:pStyle w:val="ListBullet"/>
      </w:pPr>
      <w:r>
        <w:t>F — Hold-out destinations and out-of-sample rules to catch overfitting.</w:t>
      </w:r>
    </w:p>
    <w:p>
      <w:pPr>
        <w:pStyle w:val="Heading1"/>
      </w:pPr>
      <w:r>
        <w:t>8. What the results do and do not establish</w:t>
      </w:r>
    </w:p>
    <w:p>
      <w:r>
        <w:t>These runs have produced a reproducible experimental framework for testing which assumptions affect time, coordination, feedback and architecture selection. The models have not demonstrated that nature uses primes as legs, that a Fourier gait generates the primes or that the universe is optimally constructed by unicorn agents.</w:t>
      </w:r>
    </w:p>
    <w:p>
      <w:r>
        <w:t>Claims should be consistently labelled as mathematical fact, code-derived simulated output, testable hypothesis or metaphor.</w:t>
      </w:r>
    </w:p>
    <w:p>
      <w:pPr>
        <w:pStyle w:val="Heading1"/>
      </w:pPr>
      <w:r>
        <w:t>9. Provenance and versions</w:t>
      </w:r>
    </w:p>
    <w:p>
      <w:r>
        <w:t>Scope comes from the v0.4–v0.5 proposals and explicit user corrections through 13 October 2026. Computation sources: Gait Lab 0.2 archive, 0.3 source archive, Fourier 0.4 research archive, Scale 0.5 archive and 1M CSV, Feedback 0.6 archive and Feedback 0.6.1 HTML.</w:t>
      </w:r>
    </w:p>
    <w:p>
      <w:r>
        <w:t>This document records source-reported numerical outcomes and does not claim a fresh independent proof or an exhaustive new literature review.</w:t>
      </w:r>
    </w:p>
    <w:sectPr w:rsidR="00FC693F" w:rsidRPr="0006063C" w:rsidSect="00034616">
      <w:headerReference w:type="default" r:id="rId9"/>
      <w:footerReference w:type="default" r:id="rId10"/>
      <w:pgSz w:w="12240" w:h="15840"/>
      <w:pgMar w:top="1138" w:right="1181" w:bottom="979" w:left="1267" w:header="547" w:footer="56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Working draft | v0.7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TEAM UNICORN  /  NUMBER SYSTEM UNIVERSE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B33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2676F"/>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2676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Aptos Display" w:hAnsi="Aptos Display"/>
      <w:b/>
      <w:color w:val="12676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basedOn w:val="Normal"/>
    <w:rPr>
      <w:color w:val="5E6A73"/>
      <w:sz w:val="16"/>
    </w:rPr>
  </w:style>
  <w:style w:type="paragraph" w:customStyle="1" w:styleId="Subline">
    <w:name w:val="Subline"/>
    <w:basedOn w:val="Normal"/>
    <w:rPr>
      <w:color w:val="5E6A7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Unicorn — Technical &amp; Simulation Status | v0.7</dc:title>
  <dc:subject>Engineering thought experiment; not a mathematical or cosmological proof</dc:subject>
  <dc:creator>Team Unicorn — Ivan &amp; Navi (collaborative working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