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line"/>
      </w:pPr>
      <w:r>
        <w:t>ENGINEERING BLUEPRINT  /  VERSION 0.7</w:t>
      </w:r>
    </w:p>
    <w:p>
      <w:pPr>
        <w:pStyle w:val="Title"/>
      </w:pPr>
      <w:r>
        <w:t>Team Unicorn — 기술·실험 현황 보고서</w:t>
      </w:r>
    </w:p>
    <w:p>
      <w:pPr>
        <w:pStyle w:val="Subline"/>
      </w:pPr>
      <w:r>
        <w:t>전체 수 체계 우주 구축 / 연구 버전 0.7</w:t>
      </w:r>
    </w:p>
    <w:p>
      <w:pPr>
        <w:pStyle w:val="SmallNote"/>
      </w:pPr>
      <w:r>
        <w:t>2026년 10월 13일   •   Team Unicorn   •   탐색적 / 미검증</w:t>
      </w:r>
    </w:p>
    <w:p>
      <w:pPr>
        <w:pStyle w:val="Heading1"/>
      </w:pPr>
      <w:r>
        <w:t>전체 수 체계 우주 청사진</w:t>
      </w:r>
    </w:p>
    <w:p>
      <w:r>
        <w:t>본 청사진의 최상위 목표는 이미 수학적으로 정의된 수 체계의 공간적·계산적 구현이다. 정수 징검다리는 기초공사일 뿐 전체 우주의 완성이 아니다.</w:t>
      </w:r>
    </w:p>
    <w:tbl>
      <w:tblPr>
        <w:tblStyle w:val="LightShading-Accent1"/>
        <w:tblW w:type="auto" w:w="0"/>
        <w:jc w:val="center"/>
        <w:tblLook w:firstColumn="1" w:firstRow="1" w:lastColumn="0" w:lastRow="0" w:noHBand="0" w:noVBand="1" w:val="04A0"/>
      </w:tblPr>
      <w:tblGrid>
        <w:gridCol w:w="3264"/>
        <w:gridCol w:w="3264"/>
        <w:gridCol w:w="3264"/>
      </w:tblGrid>
      <w:tr>
        <w:trPr>
          <w:cantSplit/>
        </w:trPr>
        <w:tc>
          <w:tcPr>
            <w:tcW w:type="dxa" w:w="3264"/>
            <w:shd w:fill="EAF2F2"/>
          </w:tcPr>
          <w:p>
            <w:r>
              <w:rPr>
                <w:b/>
                <w:color w:val="12676F"/>
                <w:sz w:val="16"/>
              </w:rPr>
              <w:t>단계</w:t>
            </w:r>
          </w:p>
        </w:tc>
        <w:tc>
          <w:tcPr>
            <w:tcW w:type="dxa" w:w="3264"/>
            <w:shd w:fill="EAF2F2"/>
          </w:tcPr>
          <w:p>
            <w:r>
              <w:rPr>
                <w:b/>
                <w:color w:val="12676F"/>
                <w:sz w:val="16"/>
              </w:rPr>
              <w:t>이미지 핵심 내용</w:t>
            </w:r>
          </w:p>
        </w:tc>
        <w:tc>
          <w:tcPr>
            <w:tcW w:type="dxa" w:w="3264"/>
            <w:shd w:fill="EAF2F2"/>
          </w:tcPr>
          <w:p>
            <w:r>
              <w:rPr>
                <w:b/>
                <w:color w:val="12676F"/>
                <w:sz w:val="16"/>
              </w:rPr>
              <w:t>구현상 해석</w:t>
            </w:r>
          </w:p>
        </w:tc>
      </w:tr>
      <w:tr>
        <w:trPr>
          <w:cantSplit/>
        </w:trPr>
        <w:tc>
          <w:tcPr>
            <w:tcW w:type="dxa" w:w="3264"/>
            <w:vAlign w:val="center"/>
          </w:tcPr>
          <w:p>
            <w:pPr>
              <w:spacing w:after="40" w:before="40"/>
            </w:pPr>
            <w:r>
              <w:rPr>
                <w:sz w:val="16"/>
              </w:rPr>
              <w:t>The Blueprint — Abstract Number System</w:t>
            </w:r>
          </w:p>
        </w:tc>
        <w:tc>
          <w:tcPr>
            <w:tcW w:type="dxa" w:w="3264"/>
            <w:vAlign w:val="center"/>
          </w:tcPr>
          <w:p>
            <w:pPr>
              <w:spacing w:after="40" w:before="40"/>
            </w:pPr>
            <w:r>
              <w:rPr>
                <w:sz w:val="16"/>
              </w:rPr>
              <w:t>정수·유리수·실수와 연산 및 수학적 관계</w:t>
            </w:r>
          </w:p>
        </w:tc>
        <w:tc>
          <w:tcPr>
            <w:tcW w:type="dxa" w:w="3264"/>
            <w:vAlign w:val="center"/>
          </w:tcPr>
          <w:p>
            <w:pPr>
              <w:spacing w:after="40" w:before="40"/>
            </w:pPr>
            <w:r>
              <w:rPr>
                <w:sz w:val="16"/>
              </w:rPr>
              <w:t>건설 대상에 관한 논리적 설계도</w:t>
            </w:r>
          </w:p>
        </w:tc>
      </w:tr>
      <w:tr>
        <w:trPr>
          <w:cantSplit/>
        </w:trPr>
        <w:tc>
          <w:tcPr>
            <w:tcW w:type="dxa" w:w="3264"/>
            <w:vAlign w:val="center"/>
          </w:tcPr>
          <w:p>
            <w:pPr>
              <w:spacing w:after="40" w:before="40"/>
            </w:pPr>
            <w:r>
              <w:rPr>
                <w:sz w:val="16"/>
              </w:rPr>
              <w:t>Phase I — Integer Foundation</w:t>
            </w:r>
          </w:p>
        </w:tc>
        <w:tc>
          <w:tcPr>
            <w:tcW w:type="dxa" w:w="3264"/>
            <w:vAlign w:val="center"/>
          </w:tcPr>
          <w:p>
            <w:pPr>
              <w:spacing w:after="40" w:before="40"/>
            </w:pPr>
            <w:r>
              <w:rPr>
                <w:sz w:val="16"/>
              </w:rPr>
              <w:t>+1 Marking · 무한히 확장 가능한 정수 징검다리</w:t>
            </w:r>
          </w:p>
        </w:tc>
        <w:tc>
          <w:tcPr>
            <w:tcW w:type="dxa" w:w="3264"/>
            <w:vAlign w:val="center"/>
          </w:tcPr>
          <w:p>
            <w:pPr>
              <w:spacing w:after="40" w:before="40"/>
            </w:pPr>
            <w:r>
              <w:rPr>
                <w:sz w:val="16"/>
              </w:rPr>
              <w:t>순차적 정수 표식; 끝없는 확장성</w:t>
            </w:r>
          </w:p>
        </w:tc>
      </w:tr>
      <w:tr>
        <w:trPr>
          <w:cantSplit/>
        </w:trPr>
        <w:tc>
          <w:tcPr>
            <w:tcW w:type="dxa" w:w="3264"/>
            <w:vAlign w:val="center"/>
          </w:tcPr>
          <w:p>
            <w:pPr>
              <w:spacing w:after="40" w:before="40"/>
            </w:pPr>
            <w:r>
              <w:rPr>
                <w:sz w:val="16"/>
              </w:rPr>
              <w:t>Phase II — Structural Engineering</w:t>
            </w:r>
          </w:p>
        </w:tc>
        <w:tc>
          <w:tcPr>
            <w:tcW w:type="dxa" w:w="3264"/>
            <w:vAlign w:val="center"/>
          </w:tcPr>
          <w:p>
            <w:pPr>
              <w:spacing w:after="40" w:before="40"/>
            </w:pPr>
            <w:r>
              <w:rPr>
                <w:sz w:val="16"/>
              </w:rPr>
              <w:t>Prime-Factor Checksum · 연결·재사용·공간 재조직</w:t>
            </w:r>
          </w:p>
        </w:tc>
        <w:tc>
          <w:tcPr>
            <w:tcW w:type="dxa" w:w="3264"/>
            <w:vAlign w:val="center"/>
          </w:tcPr>
          <w:p>
            <w:pPr>
              <w:spacing w:after="40" w:before="40"/>
            </w:pPr>
            <w:r>
              <w:rPr>
                <w:sz w:val="16"/>
              </w:rPr>
              <w:t>누적 산술 인증과 자원 최적화</w:t>
            </w:r>
          </w:p>
        </w:tc>
      </w:tr>
      <w:tr>
        <w:trPr>
          <w:cantSplit/>
        </w:trPr>
        <w:tc>
          <w:tcPr>
            <w:tcW w:type="dxa" w:w="3264"/>
            <w:vAlign w:val="center"/>
          </w:tcPr>
          <w:p>
            <w:pPr>
              <w:spacing w:after="40" w:before="40"/>
            </w:pPr>
            <w:r>
              <w:rPr>
                <w:sz w:val="16"/>
              </w:rPr>
              <w:t>Phase III — Numerical Continuum</w:t>
            </w:r>
          </w:p>
        </w:tc>
        <w:tc>
          <w:tcPr>
            <w:tcW w:type="dxa" w:w="3264"/>
            <w:vAlign w:val="center"/>
          </w:tcPr>
          <w:p>
            <w:pPr>
              <w:spacing w:after="40" w:before="40"/>
            </w:pPr>
            <w:r>
              <w:rPr>
                <w:sz w:val="16"/>
              </w:rPr>
              <w:t>정수 사이의 유리수·실수 표현 체계</w:t>
            </w:r>
          </w:p>
        </w:tc>
        <w:tc>
          <w:tcPr>
            <w:tcW w:type="dxa" w:w="3264"/>
            <w:vAlign w:val="center"/>
          </w:tcPr>
          <w:p>
            <w:pPr>
              <w:spacing w:after="40" w:before="40"/>
            </w:pPr>
            <w:r>
              <w:rPr>
                <w:sz w:val="16"/>
              </w:rPr>
              <w:t>정밀도별 lazy representation; 나눗셈과 완비성 필요</w:t>
            </w:r>
          </w:p>
        </w:tc>
      </w:tr>
      <w:tr>
        <w:trPr>
          <w:cantSplit/>
        </w:trPr>
        <w:tc>
          <w:tcPr>
            <w:tcW w:type="dxa" w:w="3264"/>
            <w:vAlign w:val="center"/>
          </w:tcPr>
          <w:p>
            <w:pPr>
              <w:spacing w:after="40" w:before="40"/>
            </w:pPr>
            <w:r>
              <w:rPr>
                <w:sz w:val="16"/>
              </w:rPr>
              <w:t>Phase IV — Dynamic Mathematical Universe</w:t>
            </w:r>
          </w:p>
        </w:tc>
        <w:tc>
          <w:tcPr>
            <w:tcW w:type="dxa" w:w="3264"/>
            <w:vAlign w:val="center"/>
          </w:tcPr>
          <w:p>
            <w:pPr>
              <w:spacing w:after="40" w:before="40"/>
            </w:pPr>
            <w:r>
              <w:rPr>
                <w:sz w:val="16"/>
              </w:rPr>
              <w:t>3D Spatial Construction · Time · Fourier · Morphogenesis</w:t>
            </w:r>
          </w:p>
        </w:tc>
        <w:tc>
          <w:tcPr>
            <w:tcW w:type="dxa" w:w="3264"/>
            <w:vAlign w:val="center"/>
          </w:tcPr>
          <w:p>
            <w:pPr>
              <w:spacing w:after="40" w:before="40"/>
            </w:pPr>
            <w:r>
              <w:rPr>
                <w:sz w:val="16"/>
              </w:rPr>
              <w:t>3D/4D 공간·시간 모델의 생성·전파·형태형성</w:t>
            </w:r>
          </w:p>
        </w:tc>
      </w:tr>
    </w:tbl>
    <w:p>
      <w:pPr>
        <w:spacing w:after="0"/>
      </w:pPr>
    </w:p>
    <w:p>
      <w:pPr>
        <w:pStyle w:val="Heading1"/>
      </w:pPr>
      <w:r>
        <w:t>구현 순서와 실제 동작의 구분</w:t>
      </w:r>
    </w:p>
    <w:p>
      <w:r>
        <w:t>네 단계는 기능을 분류하는 청사진이지 반드시 완료 순서를 강제하는 일정표는 아니다. Phase I의 돌 놓기, Phase II의 누적 소인수 인증, Phase IV의 시간·보행·피드백은 초기부터 동시에 작동한다. Phase III의 실수 구간은 필요한 표현 규칙을 갖춘 뒤에야 구현 가능하다.</w:t>
      </w:r>
    </w:p>
    <w:p>
      <w:pPr>
        <w:pStyle w:val="Heading1"/>
      </w:pPr>
      <w:r>
        <w:t>건설 공정: Team Unicorn Relay</w:t>
      </w:r>
    </w:p>
    <w:tbl>
      <w:tblPr>
        <w:tblStyle w:val="LightShading-Accent1"/>
        <w:tblW w:type="auto" w:w="0"/>
        <w:jc w:val="center"/>
        <w:tblLook w:firstColumn="1" w:firstRow="1" w:lastColumn="0" w:lastRow="0" w:noHBand="0" w:noVBand="1" w:val="04A0"/>
      </w:tblPr>
      <w:tblGrid>
        <w:gridCol w:w="3264"/>
        <w:gridCol w:w="3264"/>
        <w:gridCol w:w="3264"/>
      </w:tblGrid>
      <w:tr>
        <w:trPr>
          <w:cantSplit/>
        </w:trPr>
        <w:tc>
          <w:tcPr>
            <w:tcW w:type="dxa" w:w="3264"/>
            <w:shd w:fill="EAF2F2"/>
          </w:tcPr>
          <w:p>
            <w:r>
              <w:rPr>
                <w:b/>
                <w:color w:val="12676F"/>
                <w:sz w:val="16"/>
              </w:rPr>
              <w:t>작업</w:t>
            </w:r>
          </w:p>
        </w:tc>
        <w:tc>
          <w:tcPr>
            <w:tcW w:type="dxa" w:w="3264"/>
            <w:shd w:fill="EAF2F2"/>
          </w:tcPr>
          <w:p>
            <w:r>
              <w:rPr>
                <w:b/>
                <w:color w:val="12676F"/>
                <w:sz w:val="16"/>
              </w:rPr>
              <w:t>임무</w:t>
            </w:r>
          </w:p>
        </w:tc>
        <w:tc>
          <w:tcPr>
            <w:tcW w:type="dxa" w:w="3264"/>
            <w:shd w:fill="EAF2F2"/>
          </w:tcPr>
          <w:p>
            <w:r>
              <w:rPr>
                <w:b/>
                <w:color w:val="12676F"/>
                <w:sz w:val="16"/>
              </w:rPr>
              <w:t>검증할 항목</w:t>
            </w:r>
          </w:p>
        </w:tc>
      </w:tr>
      <w:tr>
        <w:trPr>
          <w:cantSplit/>
        </w:trPr>
        <w:tc>
          <w:tcPr>
            <w:tcW w:type="dxa" w:w="3264"/>
            <w:vAlign w:val="center"/>
          </w:tcPr>
          <w:p>
            <w:pPr>
              <w:spacing w:after="40" w:before="40"/>
            </w:pPr>
            <w:r>
              <w:rPr>
                <w:sz w:val="16"/>
              </w:rPr>
              <w:t>설계 / Design</w:t>
            </w:r>
          </w:p>
        </w:tc>
        <w:tc>
          <w:tcPr>
            <w:tcW w:type="dxa" w:w="3264"/>
            <w:vAlign w:val="center"/>
          </w:tcPr>
          <w:p>
            <w:pPr>
              <w:spacing w:after="40" w:before="40"/>
            </w:pPr>
            <w:r>
              <w:rPr>
                <w:sz w:val="16"/>
              </w:rPr>
              <w:t>목적지 n을 미리 알고 다리 개수·개별 소수 후보·위상·주기·HQ 설계비용 선정</w:t>
            </w:r>
          </w:p>
        </w:tc>
        <w:tc>
          <w:tcPr>
            <w:tcW w:type="dxa" w:w="3264"/>
            <w:vAlign w:val="center"/>
          </w:tcPr>
          <w:p>
            <w:pPr>
              <w:spacing w:after="40" w:before="40"/>
            </w:pPr>
            <w:r>
              <w:rPr>
                <w:sz w:val="16"/>
              </w:rPr>
              <w:t>결과를 미리 주입하지 않을 것</w:t>
            </w:r>
          </w:p>
        </w:tc>
      </w:tr>
      <w:tr>
        <w:trPr>
          <w:cantSplit/>
        </w:trPr>
        <w:tc>
          <w:tcPr>
            <w:tcW w:type="dxa" w:w="3264"/>
            <w:vAlign w:val="center"/>
          </w:tcPr>
          <w:p>
            <w:pPr>
              <w:spacing w:after="40" w:before="40"/>
            </w:pPr>
            <w:r>
              <w:rPr>
                <w:sz w:val="16"/>
              </w:rPr>
              <w:t>이동·인증 / Transit</w:t>
            </w:r>
          </w:p>
        </w:tc>
        <w:tc>
          <w:tcPr>
            <w:tcW w:type="dxa" w:w="3264"/>
            <w:vAlign w:val="center"/>
          </w:tcPr>
          <w:p>
            <w:pPr>
              <w:spacing w:after="40" w:before="40"/>
            </w:pPr>
            <w:r>
              <w:rPr>
                <w:sz w:val="16"/>
              </w:rPr>
              <w:t>0부터 n−1까지 기존 정수 구조를 계승된 인증 정보로 재검증</w:t>
            </w:r>
          </w:p>
        </w:tc>
        <w:tc>
          <w:tcPr>
            <w:tcW w:type="dxa" w:w="3264"/>
            <w:vAlign w:val="center"/>
          </w:tcPr>
          <w:p>
            <w:pPr>
              <w:spacing w:after="40" w:before="40"/>
            </w:pPr>
            <w:r>
              <w:rPr>
                <w:sz w:val="16"/>
              </w:rPr>
              <w:t>0·1 예외 및 캐시 일관성</w:t>
            </w:r>
          </w:p>
        </w:tc>
      </w:tr>
      <w:tr>
        <w:trPr>
          <w:cantSplit/>
        </w:trPr>
        <w:tc>
          <w:tcPr>
            <w:tcW w:type="dxa" w:w="3264"/>
            <w:vAlign w:val="center"/>
          </w:tcPr>
          <w:p>
            <w:pPr>
              <w:spacing w:after="40" w:before="40"/>
            </w:pPr>
            <w:r>
              <w:rPr>
                <w:sz w:val="16"/>
              </w:rPr>
              <w:t>+1 마킹 / Marking</w:t>
            </w:r>
          </w:p>
        </w:tc>
        <w:tc>
          <w:tcPr>
            <w:tcW w:type="dxa" w:w="3264"/>
            <w:vAlign w:val="center"/>
          </w:tcPr>
          <w:p>
            <w:pPr>
              <w:spacing w:after="40" w:before="40"/>
            </w:pPr>
            <w:r>
              <w:rPr>
                <w:sz w:val="16"/>
              </w:rPr>
              <w:t>기존 끝점 n−1에서 n으로 마지막 후속자 발걸음</w:t>
            </w:r>
          </w:p>
        </w:tc>
        <w:tc>
          <w:tcPr>
            <w:tcW w:type="dxa" w:w="3264"/>
            <w:vAlign w:val="center"/>
          </w:tcPr>
          <w:p>
            <w:pPr>
              <w:spacing w:after="40" w:before="40"/>
            </w:pPr>
            <w:r>
              <w:rPr>
                <w:sz w:val="16"/>
              </w:rPr>
              <w:t>중복·누락 없이 n 표시</w:t>
            </w:r>
          </w:p>
        </w:tc>
      </w:tr>
      <w:tr>
        <w:trPr>
          <w:cantSplit/>
        </w:trPr>
        <w:tc>
          <w:tcPr>
            <w:tcW w:type="dxa" w:w="3264"/>
            <w:vAlign w:val="center"/>
          </w:tcPr>
          <w:p>
            <w:pPr>
              <w:spacing w:after="40" w:before="40"/>
            </w:pPr>
            <w:r>
              <w:rPr>
                <w:sz w:val="16"/>
              </w:rPr>
              <w:t>실수 구간 / Interval</w:t>
            </w:r>
          </w:p>
        </w:tc>
        <w:tc>
          <w:tcPr>
            <w:tcW w:type="dxa" w:w="3264"/>
            <w:vAlign w:val="center"/>
          </w:tcPr>
          <w:p>
            <w:pPr>
              <w:spacing w:after="40" w:before="40"/>
            </w:pPr>
            <w:r>
              <w:rPr>
                <w:sz w:val="16"/>
              </w:rPr>
              <w:t>[n−1,n] 사이 실수의 잠재적 접근 가능 구간 표시</w:t>
            </w:r>
          </w:p>
        </w:tc>
        <w:tc>
          <w:tcPr>
            <w:tcW w:type="dxa" w:w="3264"/>
            <w:vAlign w:val="center"/>
          </w:tcPr>
          <w:p>
            <w:pPr>
              <w:spacing w:after="40" w:before="40"/>
            </w:pPr>
            <w:r>
              <w:rPr>
                <w:sz w:val="16"/>
              </w:rPr>
              <w:t>실수 생성이 아니라 구현 약속</w:t>
            </w:r>
          </w:p>
        </w:tc>
      </w:tr>
      <w:tr>
        <w:trPr>
          <w:cantSplit/>
        </w:trPr>
        <w:tc>
          <w:tcPr>
            <w:tcW w:type="dxa" w:w="3264"/>
            <w:vAlign w:val="center"/>
          </w:tcPr>
          <w:p>
            <w:pPr>
              <w:spacing w:after="40" w:before="40"/>
            </w:pPr>
            <w:r>
              <w:rPr>
                <w:sz w:val="16"/>
              </w:rPr>
              <w:t>귀환·개선 / Handover</w:t>
            </w:r>
          </w:p>
        </w:tc>
        <w:tc>
          <w:tcPr>
            <w:tcW w:type="dxa" w:w="3264"/>
            <w:vAlign w:val="center"/>
          </w:tcPr>
          <w:p>
            <w:pPr>
              <w:spacing w:after="40" w:before="40"/>
            </w:pPr>
            <w:r>
              <w:rPr>
                <w:sz w:val="16"/>
              </w:rPr>
              <w:t>검증·비용·위상·재배열 정보를 HQ에 전달하여 후속 세대 설계 갱신</w:t>
            </w:r>
          </w:p>
        </w:tc>
        <w:tc>
          <w:tcPr>
            <w:tcW w:type="dxa" w:w="3264"/>
            <w:vAlign w:val="center"/>
          </w:tcPr>
          <w:p>
            <w:pPr>
              <w:spacing w:after="40" w:before="40"/>
            </w:pPr>
            <w:r>
              <w:rPr>
                <w:sz w:val="16"/>
              </w:rPr>
              <w:t>최적화 시간과 귀환비용 포함</w:t>
            </w:r>
          </w:p>
        </w:tc>
      </w:tr>
    </w:tbl>
    <w:p>
      <w:pPr>
        <w:spacing w:after="0"/>
      </w:pPr>
    </w:p>
    <w:p>
      <w:pPr>
        <w:pStyle w:val="Heading1"/>
      </w:pPr>
      <w:r>
        <w:t>공간·정보 계층</w:t>
      </w:r>
    </w:p>
    <w:tbl>
      <w:tblPr>
        <w:tblStyle w:val="LightShading-Accent1"/>
        <w:tblW w:type="auto" w:w="0"/>
        <w:jc w:val="center"/>
        <w:tblLook w:firstColumn="1" w:firstRow="1" w:lastColumn="0" w:lastRow="0" w:noHBand="0" w:noVBand="1" w:val="04A0"/>
      </w:tblPr>
      <w:tblGrid>
        <w:gridCol w:w="4896"/>
        <w:gridCol w:w="4896"/>
      </w:tblGrid>
      <w:tr>
        <w:trPr>
          <w:cantSplit/>
        </w:trPr>
        <w:tc>
          <w:tcPr>
            <w:tcW w:type="dxa" w:w="4896"/>
            <w:shd w:fill="EAF2F2"/>
          </w:tcPr>
          <w:p>
            <w:r>
              <w:rPr>
                <w:b/>
                <w:color w:val="12676F"/>
                <w:sz w:val="16"/>
              </w:rPr>
              <w:t>계층</w:t>
            </w:r>
          </w:p>
        </w:tc>
        <w:tc>
          <w:tcPr>
            <w:tcW w:type="dxa" w:w="4896"/>
            <w:shd w:fill="EAF2F2"/>
          </w:tcPr>
          <w:p>
            <w:r>
              <w:rPr>
                <w:b/>
                <w:color w:val="12676F"/>
                <w:sz w:val="16"/>
              </w:rPr>
              <w:t>역할</w:t>
            </w:r>
          </w:p>
        </w:tc>
      </w:tr>
      <w:tr>
        <w:trPr>
          <w:cantSplit/>
        </w:trPr>
        <w:tc>
          <w:tcPr>
            <w:tcW w:type="dxa" w:w="4896"/>
            <w:vAlign w:val="center"/>
          </w:tcPr>
          <w:p>
            <w:pPr>
              <w:spacing w:after="40" w:before="40"/>
            </w:pPr>
            <w:r>
              <w:rPr>
                <w:sz w:val="16"/>
              </w:rPr>
              <w:t>1D number line</w:t>
            </w:r>
          </w:p>
        </w:tc>
        <w:tc>
          <w:tcPr>
            <w:tcW w:type="dxa" w:w="4896"/>
            <w:vAlign w:val="center"/>
          </w:tcPr>
          <w:p>
            <w:pPr>
              <w:spacing w:after="40" w:before="40"/>
            </w:pPr>
            <w:r>
              <w:rPr>
                <w:sz w:val="16"/>
              </w:rPr>
              <w:t>0, 1, 2, … 마커와 정수의 순서</w:t>
            </w:r>
          </w:p>
        </w:tc>
      </w:tr>
      <w:tr>
        <w:trPr>
          <w:cantSplit/>
        </w:trPr>
        <w:tc>
          <w:tcPr>
            <w:tcW w:type="dxa" w:w="4896"/>
            <w:vAlign w:val="center"/>
          </w:tcPr>
          <w:p>
            <w:pPr>
              <w:spacing w:after="40" w:before="40"/>
            </w:pPr>
            <w:r>
              <w:rPr>
                <w:sz w:val="16"/>
              </w:rPr>
              <w:t>Prime-factor graph</w:t>
            </w:r>
          </w:p>
        </w:tc>
        <w:tc>
          <w:tcPr>
            <w:tcW w:type="dxa" w:w="4896"/>
            <w:vAlign w:val="center"/>
          </w:tcPr>
          <w:p>
            <w:pPr>
              <w:spacing w:after="40" w:before="40"/>
            </w:pPr>
            <w:r>
              <w:rPr>
                <w:sz w:val="16"/>
              </w:rPr>
              <w:t>소수 지수·인증서·재사용 가능한 구조적 연결</w:t>
            </w:r>
          </w:p>
        </w:tc>
      </w:tr>
      <w:tr>
        <w:trPr>
          <w:cantSplit/>
        </w:trPr>
        <w:tc>
          <w:tcPr>
            <w:tcW w:type="dxa" w:w="4896"/>
            <w:vAlign w:val="center"/>
          </w:tcPr>
          <w:p>
            <w:pPr>
              <w:spacing w:after="40" w:before="40"/>
            </w:pPr>
            <w:r>
              <w:rPr>
                <w:sz w:val="16"/>
              </w:rPr>
              <w:t>3D placement</w:t>
            </w:r>
          </w:p>
        </w:tc>
        <w:tc>
          <w:tcPr>
            <w:tcW w:type="dxa" w:w="4896"/>
            <w:vAlign w:val="center"/>
          </w:tcPr>
          <w:p>
            <w:pPr>
              <w:spacing w:after="40" w:before="40"/>
            </w:pPr>
            <w:r>
              <w:rPr>
                <w:sz w:val="16"/>
              </w:rPr>
              <w:t>큐빅 저장·연결과 구형 전파를 구분하며 하이브리드 비교</w:t>
            </w:r>
          </w:p>
        </w:tc>
      </w:tr>
      <w:tr>
        <w:trPr>
          <w:cantSplit/>
        </w:trPr>
        <w:tc>
          <w:tcPr>
            <w:tcW w:type="dxa" w:w="4896"/>
            <w:vAlign w:val="center"/>
          </w:tcPr>
          <w:p>
            <w:pPr>
              <w:spacing w:after="40" w:before="40"/>
            </w:pPr>
            <w:r>
              <w:rPr>
                <w:sz w:val="16"/>
              </w:rPr>
              <w:t>4D dynamics</w:t>
            </w:r>
          </w:p>
        </w:tc>
        <w:tc>
          <w:tcPr>
            <w:tcW w:type="dxa" w:w="4896"/>
            <w:vAlign w:val="center"/>
          </w:tcPr>
          <w:p>
            <w:pPr>
              <w:spacing w:after="40" w:before="40"/>
            </w:pPr>
            <w:r>
              <w:rPr>
                <w:sz w:val="16"/>
              </w:rPr>
              <w:t>물리 경과시간 τ 및 유니콘 세대 t 구분; Fourier와 feedback</w:t>
            </w:r>
          </w:p>
        </w:tc>
      </w:tr>
      <w:tr>
        <w:trPr>
          <w:cantSplit/>
        </w:trPr>
        <w:tc>
          <w:tcPr>
            <w:tcW w:type="dxa" w:w="4896"/>
            <w:vAlign w:val="center"/>
          </w:tcPr>
          <w:p>
            <w:pPr>
              <w:spacing w:after="40" w:before="40"/>
            </w:pPr>
            <w:r>
              <w:rPr>
                <w:sz w:val="16"/>
              </w:rPr>
              <w:t>HQ memory</w:t>
            </w:r>
          </w:p>
        </w:tc>
        <w:tc>
          <w:tcPr>
            <w:tcW w:type="dxa" w:w="4896"/>
            <w:vAlign w:val="center"/>
          </w:tcPr>
          <w:p>
            <w:pPr>
              <w:spacing w:after="40" w:before="40"/>
            </w:pPr>
            <w:r>
              <w:rPr>
                <w:sz w:val="16"/>
              </w:rPr>
              <w:t>필요한 정보를 계승하면서 시간·관리·엔트로피 비용 추적</w:t>
            </w:r>
          </w:p>
        </w:tc>
      </w:tr>
    </w:tbl>
    <w:p>
      <w:pPr>
        <w:spacing w:after="0"/>
      </w:pPr>
    </w:p>
    <w:p>
      <w:pPr>
        <w:pStyle w:val="Heading1"/>
      </w:pPr>
      <w:r>
        <w:t>엄격한 경계조건</w:t>
      </w:r>
    </w:p>
    <w:p>
      <w:pPr>
        <w:pStyle w:val="ListBullet"/>
      </w:pPr>
      <w:r>
        <w:t>수학적 수를 생성하지 않는다. 단지 주어진 공리적 수 체계의 유한 부분을 구현한다.</w:t>
      </w:r>
    </w:p>
    <w:p>
      <w:pPr>
        <w:pStyle w:val="ListBullet"/>
      </w:pPr>
      <w:r>
        <w:t>한 chronon에 모든 무한 정수를 개별적으로 구현할 수는 없다. 무한은 제한 없는 확장 목표다.</w:t>
      </w:r>
    </w:p>
    <w:p>
      <w:pPr>
        <w:pStyle w:val="ListBullet"/>
      </w:pPr>
      <w:r>
        <w:t>정수 마커만으로 실수 연속체는 구현되지 않는다. 유리수·실수의 표현과 완비화가 별도 필요하다.</w:t>
      </w:r>
    </w:p>
    <w:p>
      <w:pPr>
        <w:pStyle w:val="ListBullet"/>
      </w:pPr>
      <w:r>
        <w:t>소수라벨은 다리 수가 아니다. 다리 수 k는 임의의 최적화 변수이며 소수값=보폭 역시 미증명이다.</w:t>
      </w:r>
    </w:p>
    <w:p>
      <w:pPr>
        <w:pStyle w:val="ListBullet"/>
      </w:pPr>
      <w:r>
        <w:t>모든 비용은 실행시간·연산량·정보전달·재배열·협응·검증을 분리한 후 비교한다.</w:t>
      </w:r>
    </w:p>
    <w:p>
      <w:pPr>
        <w:pStyle w:val="Heading1"/>
      </w:pPr>
      <w:r>
        <w:t>다음 구현 마일스톤</w:t>
      </w:r>
    </w:p>
    <w:p>
      <w:pPr>
        <w:pStyle w:val="ListBullet"/>
      </w:pPr>
      <w:r>
        <w:t>M1 정수 마커와 상속형 소인수 인증을 실제 코드에 연결</w:t>
      </w:r>
    </w:p>
    <w:p>
      <w:pPr>
        <w:pStyle w:val="ListBullet"/>
      </w:pPr>
      <w:r>
        <w:t>M2 알려진 목적지·실시간 남은 거리 기반 gait feedback 제어</w:t>
      </w:r>
    </w:p>
    <w:p>
      <w:pPr>
        <w:pStyle w:val="ListBullet"/>
      </w:pPr>
      <w:r>
        <w:t>M3 소수/합성수/무작위 다리 라벨 대조군, 1–10초 및 1–1M 목적지 평가</w:t>
      </w:r>
    </w:p>
    <w:p>
      <w:pPr>
        <w:pStyle w:val="ListBullet"/>
      </w:pPr>
      <w:r>
        <w:t>M4 큐빅/구형/하이브리드 레이아웃에 동일한 건설·인증 작업 배정</w:t>
      </w:r>
    </w:p>
    <w:p>
      <w:pPr>
        <w:pStyle w:val="ListBullet"/>
      </w:pPr>
      <w:r>
        <w:t>M5 원점 귀환/정보만 송신/분산 HQ 비용 비교 및 세대별 학습</w:t>
      </w:r>
    </w:p>
    <w:p>
      <w:pPr>
        <w:pStyle w:val="Heading1"/>
      </w:pPr>
      <w:r>
        <w:t>기존 v0.6 연구 범위의 계승·개정</w:t>
      </w:r>
    </w:p>
    <w:p>
      <w:pPr>
        <w:pStyle w:val="Heading1"/>
      </w:pPr>
      <w:r>
        <w:t>0. 보고서의 역할</w:t>
      </w:r>
    </w:p>
    <w:p>
      <w:r>
        <w:t>이 문서는 연구과제서 v0.7의 기술 부록이며, 지금까지 실행한 Gait Lab의 실제 계산 결과와 한계를 정리한다. 실제 세계의 소수·우주·로봇에 관한 실험 결과가 아니라 명시된 가정 아래의 계산 실험 기록이다. 연구의 임무는 정수 징검다리 건설이지 소수의 발견이 아니다.</w:t>
      </w:r>
    </w:p>
    <w:p>
      <w:pPr>
        <w:pStyle w:val="Heading1"/>
      </w:pPr>
      <w:r>
        <w:t>1. 실행한 실험의 계보</w:t>
      </w:r>
    </w:p>
    <w:tbl>
      <w:tblPr>
        <w:tblStyle w:val="LightShading-Accent1"/>
        <w:tblW w:type="auto" w:w="0"/>
        <w:jc w:val="center"/>
        <w:tblLook w:firstColumn="1" w:firstRow="1" w:lastColumn="0" w:lastRow="0" w:noHBand="0" w:noVBand="1" w:val="04A0"/>
      </w:tblPr>
      <w:tblGrid>
        <w:gridCol w:w="3264"/>
        <w:gridCol w:w="3264"/>
        <w:gridCol w:w="3264"/>
      </w:tblGrid>
      <w:tr>
        <w:trPr>
          <w:cantSplit/>
        </w:trPr>
        <w:tc>
          <w:tcPr>
            <w:tcW w:type="dxa" w:w="3264"/>
            <w:shd w:fill="EAF2F2"/>
          </w:tcPr>
          <w:p>
            <w:r>
              <w:rPr>
                <w:b/>
                <w:color w:val="12676F"/>
                <w:sz w:val="16"/>
              </w:rPr>
              <w:t>버전</w:t>
            </w:r>
          </w:p>
        </w:tc>
        <w:tc>
          <w:tcPr>
            <w:tcW w:type="dxa" w:w="3264"/>
            <w:shd w:fill="EAF2F2"/>
          </w:tcPr>
          <w:p>
            <w:r>
              <w:rPr>
                <w:b/>
                <w:color w:val="12676F"/>
                <w:sz w:val="16"/>
              </w:rPr>
              <w:t>시험 범위</w:t>
            </w:r>
          </w:p>
        </w:tc>
        <w:tc>
          <w:tcPr>
            <w:tcW w:type="dxa" w:w="3264"/>
            <w:shd w:fill="EAF2F2"/>
          </w:tcPr>
          <w:p>
            <w:r>
              <w:rPr>
                <w:b/>
                <w:color w:val="12676F"/>
                <w:sz w:val="16"/>
              </w:rPr>
              <w:t>가장 중요한 가정/역할</w:t>
            </w:r>
          </w:p>
        </w:tc>
      </w:tr>
      <w:tr>
        <w:trPr>
          <w:cantSplit/>
        </w:trPr>
        <w:tc>
          <w:tcPr>
            <w:tcW w:type="dxa" w:w="3264"/>
            <w:vAlign w:val="center"/>
          </w:tcPr>
          <w:p>
            <w:pPr>
              <w:spacing w:after="40" w:before="40"/>
            </w:pPr>
            <w:r>
              <w:rPr>
                <w:sz w:val="16"/>
              </w:rPr>
              <w:t>0.2</w:t>
            </w:r>
          </w:p>
        </w:tc>
        <w:tc>
          <w:tcPr>
            <w:tcW w:type="dxa" w:w="3264"/>
            <w:vAlign w:val="center"/>
          </w:tcPr>
          <w:p>
            <w:pPr>
              <w:spacing w:after="40" w:before="40"/>
            </w:pPr>
            <w:r>
              <w:rPr>
                <w:sz w:val="16"/>
              </w:rPr>
              <w:t>1·5·10초</w:t>
            </w:r>
          </w:p>
        </w:tc>
        <w:tc>
          <w:tcPr>
            <w:tcW w:type="dxa" w:w="3264"/>
            <w:vAlign w:val="center"/>
          </w:tcPr>
          <w:p>
            <w:pPr>
              <w:spacing w:after="40" w:before="40"/>
            </w:pPr>
            <w:r>
              <w:rPr>
                <w:sz w:val="16"/>
              </w:rPr>
              <w:t>가상 다리별 거리×횟수와 협응·대기 비용</w:t>
            </w:r>
          </w:p>
        </w:tc>
      </w:tr>
      <w:tr>
        <w:trPr>
          <w:cantSplit/>
        </w:trPr>
        <w:tc>
          <w:tcPr>
            <w:tcW w:type="dxa" w:w="3264"/>
            <w:vAlign w:val="center"/>
          </w:tcPr>
          <w:p>
            <w:pPr>
              <w:spacing w:after="40" w:before="40"/>
            </w:pPr>
            <w:r>
              <w:rPr>
                <w:sz w:val="16"/>
              </w:rPr>
              <w:t>0.3</w:t>
            </w:r>
          </w:p>
        </w:tc>
        <w:tc>
          <w:tcPr>
            <w:tcW w:type="dxa" w:w="3264"/>
            <w:vAlign w:val="center"/>
          </w:tcPr>
          <w:p>
            <w:pPr>
              <w:spacing w:after="40" w:before="40"/>
            </w:pPr>
            <w:r>
              <w:rPr>
                <w:sz w:val="16"/>
              </w:rPr>
              <w:t>n=2…100</w:t>
            </w:r>
          </w:p>
        </w:tc>
        <w:tc>
          <w:tcPr>
            <w:tcW w:type="dxa" w:w="3264"/>
            <w:vAlign w:val="center"/>
          </w:tcPr>
          <w:p>
            <w:pPr>
              <w:spacing w:after="40" w:before="40"/>
            </w:pPr>
            <w:r>
              <w:rPr>
                <w:sz w:val="16"/>
              </w:rPr>
              <w:t>목적지 인지, 다리 소수 라벨이 보폭이라는 임시 규칙</w:t>
            </w:r>
          </w:p>
        </w:tc>
      </w:tr>
      <w:tr>
        <w:trPr>
          <w:cantSplit/>
        </w:trPr>
        <w:tc>
          <w:tcPr>
            <w:tcW w:type="dxa" w:w="3264"/>
            <w:vAlign w:val="center"/>
          </w:tcPr>
          <w:p>
            <w:pPr>
              <w:spacing w:after="40" w:before="40"/>
            </w:pPr>
            <w:r>
              <w:rPr>
                <w:sz w:val="16"/>
              </w:rPr>
              <w:t>0.4</w:t>
            </w:r>
          </w:p>
        </w:tc>
        <w:tc>
          <w:tcPr>
            <w:tcW w:type="dxa" w:w="3264"/>
            <w:vAlign w:val="center"/>
          </w:tcPr>
          <w:p>
            <w:pPr>
              <w:spacing w:after="40" w:before="40"/>
            </w:pPr>
            <w:r>
              <w:rPr>
                <w:sz w:val="16"/>
              </w:rPr>
              <w:t>n=2…100</w:t>
            </w:r>
          </w:p>
        </w:tc>
        <w:tc>
          <w:tcPr>
            <w:tcW w:type="dxa" w:w="3264"/>
            <w:vAlign w:val="center"/>
          </w:tcPr>
          <w:p>
            <w:pPr>
              <w:spacing w:after="40" w:before="40"/>
            </w:pPr>
            <w:r>
              <w:rPr>
                <w:sz w:val="16"/>
              </w:rPr>
              <w:t>소수 보폭 제거, 정류 사인파 추진과 푸리에 나눗셈 필터</w:t>
            </w:r>
          </w:p>
        </w:tc>
      </w:tr>
      <w:tr>
        <w:trPr>
          <w:cantSplit/>
        </w:trPr>
        <w:tc>
          <w:tcPr>
            <w:tcW w:type="dxa" w:w="3264"/>
            <w:vAlign w:val="center"/>
          </w:tcPr>
          <w:p>
            <w:pPr>
              <w:spacing w:after="40" w:before="40"/>
            </w:pPr>
            <w:r>
              <w:rPr>
                <w:sz w:val="16"/>
              </w:rPr>
              <w:t>0.5</w:t>
            </w:r>
          </w:p>
        </w:tc>
        <w:tc>
          <w:tcPr>
            <w:tcW w:type="dxa" w:w="3264"/>
            <w:vAlign w:val="center"/>
          </w:tcPr>
          <w:p>
            <w:pPr>
              <w:spacing w:after="40" w:before="40"/>
            </w:pPr>
            <w:r>
              <w:rPr>
                <w:sz w:val="16"/>
              </w:rPr>
              <w:t>n=2…1,000,000</w:t>
            </w:r>
          </w:p>
        </w:tc>
        <w:tc>
          <w:tcPr>
            <w:tcW w:type="dxa" w:w="3264"/>
            <w:vAlign w:val="center"/>
          </w:tcPr>
          <w:p>
            <w:pPr>
              <w:spacing w:after="40" w:before="40"/>
            </w:pPr>
            <w:r>
              <w:rPr>
                <w:sz w:val="16"/>
              </w:rPr>
              <w:t>0.4 동일 규칙으로 100만 목적지까지 확장</w:t>
            </w:r>
          </w:p>
        </w:tc>
      </w:tr>
      <w:tr>
        <w:trPr>
          <w:cantSplit/>
        </w:trPr>
        <w:tc>
          <w:tcPr>
            <w:tcW w:type="dxa" w:w="3264"/>
            <w:vAlign w:val="center"/>
          </w:tcPr>
          <w:p>
            <w:pPr>
              <w:spacing w:after="40" w:before="40"/>
            </w:pPr>
            <w:r>
              <w:rPr>
                <w:sz w:val="16"/>
              </w:rPr>
              <w:t>0.6</w:t>
            </w:r>
          </w:p>
        </w:tc>
        <w:tc>
          <w:tcPr>
            <w:tcW w:type="dxa" w:w="3264"/>
            <w:vAlign w:val="center"/>
          </w:tcPr>
          <w:p>
            <w:pPr>
              <w:spacing w:after="40" w:before="40"/>
            </w:pPr>
            <w:r>
              <w:rPr>
                <w:sz w:val="16"/>
              </w:rPr>
              <w:t>1·5·10초</w:t>
            </w:r>
          </w:p>
        </w:tc>
        <w:tc>
          <w:tcPr>
            <w:tcW w:type="dxa" w:w="3264"/>
            <w:vAlign w:val="center"/>
          </w:tcPr>
          <w:p>
            <w:pPr>
              <w:spacing w:after="40" w:before="40"/>
            </w:pPr>
            <w:r>
              <w:rPr>
                <w:sz w:val="16"/>
              </w:rPr>
              <w:t>위상 외란과 비행 중 위상 피드백</w:t>
            </w:r>
          </w:p>
        </w:tc>
      </w:tr>
      <w:tr>
        <w:trPr>
          <w:cantSplit/>
        </w:trPr>
        <w:tc>
          <w:tcPr>
            <w:tcW w:type="dxa" w:w="3264"/>
            <w:vAlign w:val="center"/>
          </w:tcPr>
          <w:p>
            <w:pPr>
              <w:spacing w:after="40" w:before="40"/>
            </w:pPr>
            <w:r>
              <w:rPr>
                <w:sz w:val="16"/>
              </w:rPr>
              <w:t>0.6.1</w:t>
            </w:r>
          </w:p>
        </w:tc>
        <w:tc>
          <w:tcPr>
            <w:tcW w:type="dxa" w:w="3264"/>
            <w:vAlign w:val="center"/>
          </w:tcPr>
          <w:p>
            <w:pPr>
              <w:spacing w:after="40" w:before="40"/>
            </w:pPr>
            <w:r>
              <w:rPr>
                <w:sz w:val="16"/>
              </w:rPr>
              <w:t>1·5·10초</w:t>
            </w:r>
          </w:p>
        </w:tc>
        <w:tc>
          <w:tcPr>
            <w:tcW w:type="dxa" w:w="3264"/>
            <w:vAlign w:val="center"/>
          </w:tcPr>
          <w:p>
            <w:pPr>
              <w:spacing w:after="40" w:before="40"/>
            </w:pPr>
            <w:r>
              <w:rPr>
                <w:sz w:val="16"/>
              </w:rPr>
              <w:t>제어 노력비와 다리 간 협응비를 독립 조절</w:t>
            </w:r>
          </w:p>
        </w:tc>
      </w:tr>
    </w:tbl>
    <w:p>
      <w:pPr>
        <w:spacing w:after="0"/>
      </w:pPr>
    </w:p>
    <w:p>
      <w:pPr>
        <w:pStyle w:val="Heading1"/>
      </w:pPr>
      <w:r>
        <w:t>2. Gait Lab 0.3 — 목적지 지정 및 정수 정확성</w:t>
      </w:r>
    </w:p>
    <w:p>
      <w:r>
        <w:t>2~100의 각 목적지 n은 출발 전에 주어졌고, 유니콘은 원점→n−1→마지막 +1→n의 임무를 수행했다. 209종 설계(1~4개 다리, 소수 라벨 2·3·5·7·11·13, 중복 허용)를 전수 비교했다.</w:t>
      </w:r>
    </w:p>
    <w:p>
      <w:r>
        <w:t>이때 한 펄스에서 활성 다리들의 “소수 라벨 합”을 이동거리로 사용했다. 이는 모델이 임의로 정한 법칙이며 prime↔gait 관계의 발견이 아니다. 중간 미세 +1 동작도 추가로 허용했다.</w:t>
      </w:r>
    </w:p>
    <w:p>
      <w:r>
        <w:t>중간 협응비용·상속된 소수 부품 목록·귀환 포함 조건에서 기본 분석은 99개 목적지 중 단일 다리 19회, 두 다리 80회 선택됐고, 각 목적지에서 최적 단일 다리와 비교한 누적 시간 절감률은 약 29.6%였다. 소수 부품의 선재 목록과 과거 확보 목록을 나누어 시험했다.</w:t>
      </w:r>
    </w:p>
    <w:p>
      <w:pPr>
        <w:pStyle w:val="Heading1"/>
      </w:pPr>
      <w:r>
        <w:t>3. Fourier Gait 0.4 — 소수값을 보폭에 직접 대입하지 않음</w:t>
      </w:r>
    </w:p>
    <w:p>
      <w:r>
        <w:t>후보는 다리 1~3개, 주파수 1~6Hz, 위상 0°,90°,180°,270°에서 정한 2,924종이다. 개별 추진 신호 aᵢ(τ)=max(0,sin(2πfᵢτ+φᵢ)), 몸체 속도는 결합 신호에 따른 가상 정류 추진식으로 정의한다.</w:t>
      </w:r>
    </w:p>
    <w:p>
      <w:r>
        <w:t>99개 목적지에서 기본비용 조건의 최적 다리 수는 1개 12회, 2개 87회, 3개 0회. 선택 주파수는 대부분 1Hz였다. 이 동작식에는 소수 정체성이 입력되지 않아 소수 특이 효과를 찾았다고 할 수 없다.</w:t>
      </w:r>
    </w:p>
    <w:p>
      <w:r>
        <w:t>별도 정확한 푸리에 나눗셈 필터 δ_q(n)=(1/q)Σ_r exp(2πirn/q)는 q가 n의 약수일 때 1, 아니면 0이라는 표준 항등식이다. 2~100 소수 판별에 사용할 수 있으나 단순한 나눗셈 검사를 푸리에로 표기한 것일 뿐 gait의 기원 설명은 아니다.</w:t>
      </w:r>
    </w:p>
    <w:p>
      <w:pPr>
        <w:pStyle w:val="Heading1"/>
      </w:pPr>
      <w:r>
        <w:t>4. Scale 0.5 — 100만 목적지의 핵심 결과</w:t>
      </w:r>
    </w:p>
    <w:p>
      <w:r>
        <w:t>이 실험은 0.4의 추진·비용 규칙을 바꾸지 않고 목적지를 2~1,000,000으로 늘렸다. 총 999,999개 목적지와 2,924종 후보 설계를 탐색했고 409개의 목적지를 전수검색으로 교차 확인했다(기존 99개 포함).</w:t>
      </w:r>
    </w:p>
    <w:p>
      <w:r>
        <w:t>기본값에서 단일 다리 12회, 두 다리 999,987회, 세 다리 0회. 40 이상 모든 목적지에서는 위상이 서로 반대인 두 다리 1Hz 설계 두 종류 중 하나가 이겼다. 전체 선택 설계는 여섯 종류였으며, 목적지별 최적 단일 다리 합계 대비 총시간 약 21.51% 절감이 관찰됐다.</w:t>
      </w:r>
    </w:p>
    <w:p>
      <w:r>
        <w:t>직렬 원점 왕복을 전체 릴레이에 적용하면 누적시간 약 246,583,683,620 model seconds로 계산됐다. 이를 임의로 연·초 단위로 환산하면 약 7,814 model-years지만 실제 물리 시간이 아니다. 매번 n 규모의 거리 왕복을 수행하는 구조적 병목을 보여주는 사례다.</w:t>
      </w:r>
    </w:p>
    <w:p>
      <w:r>
        <w:t>실험에 소수 판정 정보는 최적화 입력으로 사용하지 않았다. 목적지가 소수라는 사실에 따른 gait 효과도 검출되지 않았다. 관리비용 가중치 변화에 따라 장거리 최적 다리 수는 1·2·3개로 바뀌었다.</w:t>
      </w:r>
    </w:p>
    <w:p>
      <w:pPr>
        <w:pStyle w:val="Heading1"/>
      </w:pPr>
      <w:r>
        <w:t>5. Feedback 0.6과 Coordination 0.6.1</w:t>
      </w:r>
    </w:p>
    <w:p>
      <w:r>
        <w:t>0.6은 위상 외란(0.75, 3, 7초) 후 국소 위상차를 관측해 각속도를 보정하는 feedback을 도입했다. 예시 10초 두 다리 구성에서 고정 gait 43.32, feedback gait 44.92, 무외란 45.01 units로 계산돼 외란 회복을 관찰했다. 한 다리에서는 다리 간 위상 피드백을 사용할 수 없다.</w:t>
      </w:r>
    </w:p>
    <w:p>
      <w:r>
        <w:t>0.6.1은 다리 간 협응 가격 η를 제어 노력 가격과 구분해 추가했다. 단위시간당 다리 쌍의 비용과 위상 오차 누적을 평가 점수에서 차감한다. 중요한 한계: 협응비용은 “점수”에 반영되지만 실제 추진속도의 기계적 저항으로 반영되지는 않는다.</w:t>
      </w:r>
    </w:p>
    <w:p>
      <w:r>
        <w:t>현재 두 feedback 모형에는 아직 알려진 목적지까지 남은 거리의 피드백, 전체 누적 체크섬, 원점 귀환 설계 학습, 3D 공간 재조직이 구현되지 않았다.</w:t>
      </w:r>
    </w:p>
    <w:p>
      <w:pPr>
        <w:pStyle w:val="Heading1"/>
      </w:pPr>
      <w:r>
        <w:t>6. 수정된 아키텍처와 모델 틈새</w:t>
      </w:r>
    </w:p>
    <w:tbl>
      <w:tblPr>
        <w:tblStyle w:val="LightShading-Accent1"/>
        <w:tblW w:type="auto" w:w="0"/>
        <w:jc w:val="center"/>
        <w:tblLook w:firstColumn="1" w:firstRow="1" w:lastColumn="0" w:lastRow="0" w:noHBand="0" w:noVBand="1" w:val="04A0"/>
      </w:tblPr>
      <w:tblGrid>
        <w:gridCol w:w="3264"/>
        <w:gridCol w:w="3264"/>
        <w:gridCol w:w="3264"/>
      </w:tblGrid>
      <w:tr>
        <w:trPr>
          <w:cantSplit/>
        </w:trPr>
        <w:tc>
          <w:tcPr>
            <w:tcW w:type="dxa" w:w="3264"/>
            <w:shd w:fill="EAF2F2"/>
          </w:tcPr>
          <w:p>
            <w:r>
              <w:rPr>
                <w:b/>
                <w:color w:val="12676F"/>
                <w:sz w:val="16"/>
              </w:rPr>
              <w:t>개념</w:t>
            </w:r>
          </w:p>
        </w:tc>
        <w:tc>
          <w:tcPr>
            <w:tcW w:type="dxa" w:w="3264"/>
            <w:shd w:fill="EAF2F2"/>
          </w:tcPr>
          <w:p>
            <w:r>
              <w:rPr>
                <w:b/>
                <w:color w:val="12676F"/>
                <w:sz w:val="16"/>
              </w:rPr>
              <w:t>현재 구현</w:t>
            </w:r>
          </w:p>
        </w:tc>
        <w:tc>
          <w:tcPr>
            <w:tcW w:type="dxa" w:w="3264"/>
            <w:shd w:fill="EAF2F2"/>
          </w:tcPr>
          <w:p>
            <w:r>
              <w:rPr>
                <w:b/>
                <w:color w:val="12676F"/>
                <w:sz w:val="16"/>
              </w:rPr>
              <w:t>필요한 연구</w:t>
            </w:r>
          </w:p>
        </w:tc>
      </w:tr>
      <w:tr>
        <w:trPr>
          <w:cantSplit/>
        </w:trPr>
        <w:tc>
          <w:tcPr>
            <w:tcW w:type="dxa" w:w="3264"/>
            <w:vAlign w:val="center"/>
          </w:tcPr>
          <w:p>
            <w:pPr>
              <w:spacing w:after="40" w:before="40"/>
            </w:pPr>
            <w:r>
              <w:rPr>
                <w:sz w:val="16"/>
              </w:rPr>
              <w:t>알고 있는 목적지</w:t>
            </w:r>
          </w:p>
        </w:tc>
        <w:tc>
          <w:tcPr>
            <w:tcW w:type="dxa" w:w="3264"/>
            <w:vAlign w:val="center"/>
          </w:tcPr>
          <w:p>
            <w:pPr>
              <w:spacing w:after="40" w:before="40"/>
            </w:pPr>
            <w:r>
              <w:rPr>
                <w:sz w:val="16"/>
              </w:rPr>
              <w:t>0.3·0.4·0.5 목적지별 선택</w:t>
            </w:r>
          </w:p>
        </w:tc>
        <w:tc>
          <w:tcPr>
            <w:tcW w:type="dxa" w:w="3264"/>
            <w:vAlign w:val="center"/>
          </w:tcPr>
          <w:p>
            <w:pPr>
              <w:spacing w:after="40" w:before="40"/>
            </w:pPr>
            <w:r>
              <w:rPr>
                <w:sz w:val="16"/>
              </w:rPr>
              <w:t>목적지 오차를 실시간 feedback 입력으로</w:t>
            </w:r>
          </w:p>
        </w:tc>
      </w:tr>
      <w:tr>
        <w:trPr>
          <w:cantSplit/>
        </w:trPr>
        <w:tc>
          <w:tcPr>
            <w:tcW w:type="dxa" w:w="3264"/>
            <w:vAlign w:val="center"/>
          </w:tcPr>
          <w:p>
            <w:pPr>
              <w:spacing w:after="40" w:before="40"/>
            </w:pPr>
            <w:r>
              <w:rPr>
                <w:sz w:val="16"/>
              </w:rPr>
              <w:t>Inherited checksum</w:t>
            </w:r>
          </w:p>
        </w:tc>
        <w:tc>
          <w:tcPr>
            <w:tcW w:type="dxa" w:w="3264"/>
            <w:vAlign w:val="center"/>
          </w:tcPr>
          <w:p>
            <w:pPr>
              <w:spacing w:after="40" w:before="40"/>
            </w:pPr>
            <w:r>
              <w:rPr>
                <w:sz w:val="16"/>
              </w:rPr>
              <w:t>정의·아이디어만</w:t>
            </w:r>
          </w:p>
        </w:tc>
        <w:tc>
          <w:tcPr>
            <w:tcW w:type="dxa" w:w="3264"/>
            <w:vAlign w:val="center"/>
          </w:tcPr>
          <w:p>
            <w:pPr>
              <w:spacing w:after="40" w:before="40"/>
            </w:pPr>
            <w:r>
              <w:rPr>
                <w:sz w:val="16"/>
              </w:rPr>
              <w:t>기존 인증 재사용과 효율의 실제 구현</w:t>
            </w:r>
          </w:p>
        </w:tc>
      </w:tr>
      <w:tr>
        <w:trPr>
          <w:cantSplit/>
        </w:trPr>
        <w:tc>
          <w:tcPr>
            <w:tcW w:type="dxa" w:w="3264"/>
            <w:vAlign w:val="center"/>
          </w:tcPr>
          <w:p>
            <w:pPr>
              <w:spacing w:after="40" w:before="40"/>
            </w:pPr>
            <w:r>
              <w:rPr>
                <w:sz w:val="16"/>
              </w:rPr>
              <w:t>소수 다리</w:t>
            </w:r>
          </w:p>
        </w:tc>
        <w:tc>
          <w:tcPr>
            <w:tcW w:type="dxa" w:w="3264"/>
            <w:vAlign w:val="center"/>
          </w:tcPr>
          <w:p>
            <w:pPr>
              <w:spacing w:after="40" w:before="40"/>
            </w:pPr>
            <w:r>
              <w:rPr>
                <w:sz w:val="16"/>
              </w:rPr>
              <w:t>0.3 소수=보폭 임시 가정</w:t>
            </w:r>
          </w:p>
        </w:tc>
        <w:tc>
          <w:tcPr>
            <w:tcW w:type="dxa" w:w="3264"/>
            <w:vAlign w:val="center"/>
          </w:tcPr>
          <w:p>
            <w:pPr>
              <w:spacing w:after="40" w:before="40"/>
            </w:pPr>
            <w:r>
              <w:rPr>
                <w:sz w:val="16"/>
              </w:rPr>
              <w:t>라벨 없는 물리·푸리에 운동과 대조</w:t>
            </w:r>
          </w:p>
        </w:tc>
      </w:tr>
      <w:tr>
        <w:trPr>
          <w:cantSplit/>
        </w:trPr>
        <w:tc>
          <w:tcPr>
            <w:tcW w:type="dxa" w:w="3264"/>
            <w:vAlign w:val="center"/>
          </w:tcPr>
          <w:p>
            <w:pPr>
              <w:spacing w:after="40" w:before="40"/>
            </w:pPr>
            <w:r>
              <w:rPr>
                <w:sz w:val="16"/>
              </w:rPr>
              <w:t>후속자 +1</w:t>
            </w:r>
          </w:p>
        </w:tc>
        <w:tc>
          <w:tcPr>
            <w:tcW w:type="dxa" w:w="3264"/>
            <w:vAlign w:val="center"/>
          </w:tcPr>
          <w:p>
            <w:pPr>
              <w:spacing w:after="40" w:before="40"/>
            </w:pPr>
            <w:r>
              <w:rPr>
                <w:sz w:val="16"/>
              </w:rPr>
              <w:t>마지막 마커 연산 존재</w:t>
            </w:r>
          </w:p>
        </w:tc>
        <w:tc>
          <w:tcPr>
            <w:tcW w:type="dxa" w:w="3264"/>
            <w:vAlign w:val="center"/>
          </w:tcPr>
          <w:p>
            <w:pPr>
              <w:spacing w:after="40" w:before="40"/>
            </w:pPr>
            <w:r>
              <w:rPr>
                <w:sz w:val="16"/>
              </w:rPr>
              <w:t>새 돌의 인증 시점·실수 구간 지연 표현</w:t>
            </w:r>
          </w:p>
        </w:tc>
      </w:tr>
      <w:tr>
        <w:trPr>
          <w:cantSplit/>
        </w:trPr>
        <w:tc>
          <w:tcPr>
            <w:tcW w:type="dxa" w:w="3264"/>
            <w:vAlign w:val="center"/>
          </w:tcPr>
          <w:p>
            <w:pPr>
              <w:spacing w:after="40" w:before="40"/>
            </w:pPr>
            <w:r>
              <w:rPr>
                <w:sz w:val="16"/>
              </w:rPr>
              <w:t>HQ 세대 최적화</w:t>
            </w:r>
          </w:p>
        </w:tc>
        <w:tc>
          <w:tcPr>
            <w:tcW w:type="dxa" w:w="3264"/>
            <w:vAlign w:val="center"/>
          </w:tcPr>
          <w:p>
            <w:pPr>
              <w:spacing w:after="40" w:before="40"/>
            </w:pPr>
            <w:r>
              <w:rPr>
                <w:sz w:val="16"/>
              </w:rPr>
              <w:t>세대별 학습 미구현</w:t>
            </w:r>
          </w:p>
        </w:tc>
        <w:tc>
          <w:tcPr>
            <w:tcW w:type="dxa" w:w="3264"/>
            <w:vAlign w:val="center"/>
          </w:tcPr>
          <w:p>
            <w:pPr>
              <w:spacing w:after="40" w:before="40"/>
            </w:pPr>
            <w:r>
              <w:rPr>
                <w:sz w:val="16"/>
              </w:rPr>
              <w:t>훈련/제조 비용 포함 relay</w:t>
            </w:r>
          </w:p>
        </w:tc>
      </w:tr>
      <w:tr>
        <w:trPr>
          <w:cantSplit/>
        </w:trPr>
        <w:tc>
          <w:tcPr>
            <w:tcW w:type="dxa" w:w="3264"/>
            <w:vAlign w:val="center"/>
          </w:tcPr>
          <w:p>
            <w:pPr>
              <w:spacing w:after="40" w:before="40"/>
            </w:pPr>
            <w:r>
              <w:rPr>
                <w:sz w:val="16"/>
              </w:rPr>
              <w:t>3D/4D 공간</w:t>
            </w:r>
          </w:p>
        </w:tc>
        <w:tc>
          <w:tcPr>
            <w:tcW w:type="dxa" w:w="3264"/>
            <w:vAlign w:val="center"/>
          </w:tcPr>
          <w:p>
            <w:pPr>
              <w:spacing w:after="40" w:before="40"/>
            </w:pPr>
            <w:r>
              <w:rPr>
                <w:sz w:val="16"/>
              </w:rPr>
              <w:t>구형/큐빅 개념 설계</w:t>
            </w:r>
          </w:p>
        </w:tc>
        <w:tc>
          <w:tcPr>
            <w:tcW w:type="dxa" w:w="3264"/>
            <w:vAlign w:val="center"/>
          </w:tcPr>
          <w:p>
            <w:pPr>
              <w:spacing w:after="40" w:before="40"/>
            </w:pPr>
            <w:r>
              <w:rPr>
                <w:sz w:val="16"/>
              </w:rPr>
              <w:t>물리 이동·연결·재배열 비용</w:t>
            </w:r>
          </w:p>
        </w:tc>
      </w:tr>
      <w:tr>
        <w:trPr>
          <w:cantSplit/>
        </w:trPr>
        <w:tc>
          <w:tcPr>
            <w:tcW w:type="dxa" w:w="3264"/>
            <w:vAlign w:val="center"/>
          </w:tcPr>
          <w:p>
            <w:pPr>
              <w:spacing w:after="40" w:before="40"/>
            </w:pPr>
            <w:r>
              <w:rPr>
                <w:sz w:val="16"/>
              </w:rPr>
              <w:t>엔트로피</w:t>
            </w:r>
          </w:p>
        </w:tc>
        <w:tc>
          <w:tcPr>
            <w:tcW w:type="dxa" w:w="3264"/>
            <w:vAlign w:val="center"/>
          </w:tcPr>
          <w:p>
            <w:pPr>
              <w:spacing w:after="40" w:before="40"/>
            </w:pPr>
            <w:r>
              <w:rPr>
                <w:sz w:val="16"/>
              </w:rPr>
              <w:t>표본공간·확률 분포 미정</w:t>
            </w:r>
          </w:p>
        </w:tc>
        <w:tc>
          <w:tcPr>
            <w:tcW w:type="dxa" w:w="3264"/>
            <w:vAlign w:val="center"/>
          </w:tcPr>
          <w:p>
            <w:pPr>
              <w:spacing w:after="40" w:before="40"/>
            </w:pPr>
            <w:r>
              <w:rPr>
                <w:sz w:val="16"/>
              </w:rPr>
              <w:t>정보·열역학적 엔트로피 구분</w:t>
            </w:r>
          </w:p>
        </w:tc>
      </w:tr>
    </w:tbl>
    <w:p>
      <w:pPr>
        <w:spacing w:after="0"/>
      </w:pPr>
    </w:p>
    <w:p>
      <w:pPr>
        <w:pStyle w:val="Heading1"/>
      </w:pPr>
      <w:r>
        <w:t>7. 다음 실험의 필수 대조군</w:t>
      </w:r>
    </w:p>
    <w:p>
      <w:pPr>
        <w:pStyle w:val="ListBullet"/>
      </w:pPr>
      <w:r>
        <w:t>기준 A: 무피드백/고정 gait와 움직임 최적화 피드백을 목적지별로 비교한다.</w:t>
      </w:r>
    </w:p>
    <w:p>
      <w:pPr>
        <w:pStyle w:val="ListBullet"/>
      </w:pPr>
      <w:r>
        <w:t>기준 B: 다리 수·주파수·위상은 같고 소수 라벨만 바뀐 경우, 합성수·무작위 라벨인 경우를 대조한다.</w:t>
      </w:r>
    </w:p>
    <w:p>
      <w:pPr>
        <w:pStyle w:val="ListBullet"/>
      </w:pPr>
      <w:r>
        <w:t>기준 C: 모든 정수를 다시 인수분해하는 full audit vs 인증서를 활용한 inherited audit을 비교한다.</w:t>
      </w:r>
    </w:p>
    <w:p>
      <w:pPr>
        <w:pStyle w:val="ListBullet"/>
      </w:pPr>
      <w:r>
        <w:t>기준 D: 매번 HQ 물리 귀환 vs 필요한 정보만 원격 전달 vs 분산 HQ를 별도의 가설로 평가한다.</w:t>
      </w:r>
    </w:p>
    <w:p>
      <w:pPr>
        <w:pStyle w:val="ListBullet"/>
      </w:pPr>
      <w:r>
        <w:t>기준 E: 큐빅·구형·하이브리드 구조를 동일한 인증·배치 과제로 비교하고 재배열 비용을 포함한다.</w:t>
      </w:r>
    </w:p>
    <w:p>
      <w:pPr>
        <w:pStyle w:val="ListBullet"/>
      </w:pPr>
      <w:r>
        <w:t>기준 F: 개발 집합과 홀드아웃 목적지를 구분해 과도한 규칙맞춤 여부를 검사한다.</w:t>
      </w:r>
    </w:p>
    <w:p>
      <w:pPr>
        <w:pStyle w:val="Heading1"/>
      </w:pPr>
      <w:r>
        <w:t>8. 현재까지의 결론과 범위</w:t>
      </w:r>
    </w:p>
    <w:p>
      <w:r>
        <w:t>이번 연구에서 확실히 얻은 것은 소수 우주론의 증명이 아니라, 어떤 효율을 비용으로 볼지와 어떤 귀무가설을 시험할지에 대한 실험 프레임워크다.</w:t>
      </w:r>
    </w:p>
    <w:p>
      <w:r>
        <w:t>기존 모형은 특정한 가상 규칙 아래에서 gait와 협응·피드백 가격의 민감도를 보여준다. 그러나 Prime Number Checksum의 전체 구현, 건설 공정의 자율적 자기전파, 3D/4D의 물리적 필요성 및 실수 구간의 공학적 구현은 후속 과제로 남아 있다.</w:t>
      </w:r>
    </w:p>
    <w:p>
      <w:r>
        <w:t>향후 주장이나 발표에서는 “시뮬레이션 결과”, “알려진 수학적 사실”, “사용자의 연구 가설”, “비유적 설명”을 명확히 구분한다.</w:t>
      </w:r>
    </w:p>
    <w:p>
      <w:pPr>
        <w:pStyle w:val="Heading1"/>
      </w:pPr>
      <w:r>
        <w:t>9. 자료 출처·버전 관리</w:t>
      </w:r>
    </w:p>
    <w:p>
      <w:r>
        <w:t>대화 내 연구과제서 v0.4/v0.5 및 2026.10.13 이후의 명시적 정정이 최상위 설계 정의다. 코드·결과: Unicorn Gait Lab 0.2 zip, 0.3 source zip, Fourier Gait 0.4 research zip, 0.5 research zip 및 1M CSV, Feedback 0.6 research zip, Feedback Gait Lab 0.6.1 HTML.</w:t>
      </w:r>
    </w:p>
    <w:p>
      <w:r>
        <w:t>문서의 숫자는 모두 해당 자료의 기재 또는 실제 모델 산출값을 따른다. 본 보고서는 숫자의 물리적 실재성이나 선행연구에 대한 완전한 문헌조사를 보장하지 않는다.</w:t>
      </w:r>
    </w:p>
    <w:sectPr w:rsidR="00FC693F" w:rsidRPr="0006063C" w:rsidSect="00034616">
      <w:headerReference w:type="default" r:id="rId9"/>
      <w:footerReference w:type="default" r:id="rId10"/>
      <w:pgSz w:w="12240" w:h="15840"/>
      <w:pgMar w:top="1138" w:right="1181" w:bottom="979" w:left="1267" w:header="547"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연구 초안 | v0.7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TEAM UNICORN  /  NUMBER SYSTEM UNIVERSE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CJK KR" w:hAnsi="Noto Sans CJK KR"/>
      <w:color w:val="1B33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CJK KR" w:hAnsi="Noto Sans CJK KR"/>
      <w:b/>
      <w:bCs/>
      <w:color w:val="12676F"/>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KR" w:hAnsi="Noto Sans CJK KR"/>
      <w:b/>
      <w:bCs/>
      <w:color w:val="12676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Noto Sans CJK KR" w:hAnsi="Noto Sans CJK KR"/>
      <w:b/>
      <w:color w:val="12676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rPr>
      <w:color w:val="5E6A73"/>
      <w:sz w:val="16"/>
    </w:rPr>
  </w:style>
  <w:style w:type="paragraph" w:customStyle="1" w:styleId="Subline">
    <w:name w:val="Subline"/>
    <w:basedOn w:val="Normal"/>
    <w:rPr>
      <w:color w:val="5E6A7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Unicorn — 기술·실험 현황 보고서 | v0.7</dc:title>
  <dc:subject>Engineering thought experiment; not a mathematical or cosmological proof</dc:subject>
  <dc:creator>Team Unicorn — Ivan &amp; Navi (collaborative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