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4A5568"/>
          <w:sz w:val="24"/>
        </w:rPr>
        <w:t>INSTITUTO TÉCNICO CETAL — LORETO NOCHE</w:t>
      </w:r>
    </w:p>
    <w:p>
      <w:pPr>
        <w:jc w:val="center"/>
      </w:pPr>
      <w:r>
        <w:rPr>
          <w:rFonts w:ascii="Arial" w:hAnsi="Arial"/>
          <w:i/>
          <w:color w:val="4A5568"/>
          <w:sz w:val="22"/>
        </w:rPr>
        <w:t>Carrera de Sistemas Informáticos</w:t>
      </w:r>
    </w:p>
    <w:p/>
    <w:p/>
    <w:p>
      <w:pPr>
        <w:jc w:val="center"/>
      </w:pPr>
      <w:r>
        <w:rPr>
          <w:rFonts w:ascii="Arial" w:hAnsi="Arial"/>
          <w:b/>
          <w:color w:val="1B365D"/>
          <w:sz w:val="40"/>
        </w:rPr>
        <w:t>GUÍA PRÁCTICA Y DE CONVIVENCIA DIRECTIVA</w:t>
        <w:br/>
        <w:t>GESTIÓN 2026</w:t>
      </w:r>
    </w:p>
    <w:p>
      <w:pPr>
        <w:jc w:val="center"/>
      </w:pPr>
      <w:r>
        <w:rPr>
          <w:rFonts w:ascii="Arial" w:hAnsi="Arial"/>
          <w:color w:val="2D3748"/>
          <w:sz w:val="22"/>
        </w:rPr>
        <w:t>Explicación ágil y directa del Reglamento Interno de la Junta Estudiantil</w:t>
        <w:br/>
        <w:t>(Diseñada para Jóvenes y Profesionales de la Carrera)</w:t>
      </w:r>
    </w:p>
    <w:p/>
    <w:p/>
    <w:p/>
    <w:p/>
    <w:p/>
    <w:p/>
    <w:p>
      <w:pPr>
        <w:jc w:val="center"/>
      </w:pPr>
      <w:r>
        <w:rPr>
          <w:rFonts w:ascii="Arial" w:hAnsi="Arial"/>
          <w:color w:val="4A5568"/>
          <w:sz w:val="20"/>
        </w:rPr>
        <w:t>La Paz, Bolivia</w:t>
        <w:br/>
        <w:t>Gestión Académica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B365D"/>
        </w:rPr>
        <w:t>Presentación de la Guía</w:t>
      </w:r>
    </w:p>
    <w:p>
      <w:pPr>
        <w:spacing w:line="276" w:lineRule="auto" w:after="240"/>
      </w:pPr>
      <w:r>
        <w:rPr>
          <w:color w:val="2D3748"/>
        </w:rPr>
        <w:t>Esta guía ha sido elaborada para traducir el lenguaje técnico y formal del Reglamento Oficial de la Junta Directiva Estudiantil del Instituto Técnico CETAL (Gestión 2026) a un formato dinámico, comprensible y aplicable para el curso nocturno de Sistemas Informáticos. Dado que el perfil de nuestros estudiantes abarca un rango de edad de entre 18, 25 y hasta 40 años, esta herramienta busca equilibrar la seriedad institucional con una lectura ágil y de rápida asimilación. Aquí encontrarás cómo está organizada nuestra directiva de 5 miembros, cómo se gestiona de forma transparente el dinero del curso, cuáles son las reglas claras para votar y cómo se solucionan los desacuerdos internos mediante el debido proceso legal boliviano.</w:t>
      </w:r>
    </w:p>
    <w:p>
      <w:pPr>
        <w:pStyle w:val="Heading1"/>
      </w:pPr>
      <w:r>
        <w:rPr>
          <w:rFonts w:ascii="Arial" w:hAnsi="Arial"/>
          <w:b/>
          <w:color w:val="1B365D"/>
        </w:rPr>
        <w:t>1. Estructura Ágil de 5 Miembros Reales</w:t>
      </w:r>
    </w:p>
    <w:p>
      <w:pPr>
        <w:spacing w:line="276" w:lineRule="auto" w:after="240"/>
      </w:pPr>
      <w:r>
        <w:rPr>
          <w:color w:val="2D3748"/>
        </w:rPr>
        <w:t xml:space="preserve">Para garantizar un equipo dinámico, evitar empates burocráticos y no sobrecargar la gestión, la Junta Directiva se ha consolidado en una estructura real de </w:t>
      </w:r>
      <w:r>
        <w:rPr>
          <w:b/>
        </w:rPr>
        <w:t>cinco (5) integrantes con voto en el pleno</w:t>
      </w:r>
      <w:r>
        <w:t>. Las funciones administrativas de la Secretaría de Actas y las de Comunicación se han integrado de manera permanente a la Vicepresidencia, aliviando la carga de trabajo y centralizando los registros en un solo canal confiable. La distribución de los roles es la siguiente:</w:t>
      </w:r>
    </w:p>
    <w:p>
      <w:pPr>
        <w:pStyle w:val="ListBullet"/>
        <w:spacing w:after="120"/>
      </w:pPr>
      <w:r>
        <w:rPr>
          <w:b/>
          <w:color w:val="1B365D"/>
        </w:rPr>
        <w:t xml:space="preserve">• Presidente/a: </w:t>
      </w:r>
      <w:r>
        <w:rPr>
          <w:color w:val="2D3748"/>
        </w:rPr>
        <w:t>Representante oficial y vocero único del curso ante docentes e institución. Modera las reuniones de debate.</w:t>
      </w:r>
    </w:p>
    <w:p>
      <w:pPr>
        <w:pStyle w:val="ListBullet"/>
        <w:spacing w:after="120"/>
      </w:pPr>
      <w:r>
        <w:rPr>
          <w:b/>
          <w:color w:val="1B365D"/>
        </w:rPr>
        <w:t xml:space="preserve">• Vicepresidente/a y Secretario/a de Actas: </w:t>
      </w:r>
      <w:r>
        <w:rPr>
          <w:color w:val="2D3748"/>
        </w:rPr>
        <w:t>Coordinador de las tareas internas, responsable de la bitácora semanal, la redacción de avisos oficiales y la administración del buzón anónimo de sugerencias. Reemplaza al Presidente en caso de ausencia.</w:t>
      </w:r>
    </w:p>
    <w:p>
      <w:pPr>
        <w:pStyle w:val="ListBullet"/>
        <w:spacing w:after="120"/>
      </w:pPr>
      <w:r>
        <w:rPr>
          <w:b/>
          <w:color w:val="1B365D"/>
        </w:rPr>
        <w:t xml:space="preserve">• Tesorera: </w:t>
      </w:r>
      <w:r>
        <w:rPr>
          <w:color w:val="2D3748"/>
        </w:rPr>
        <w:t>Administradora exclusiva de los fondos comunes, responsable de los registros contables, la emisión de recibos y los balances mensuales.</w:t>
      </w:r>
    </w:p>
    <w:p>
      <w:pPr>
        <w:pStyle w:val="ListBullet"/>
        <w:spacing w:after="120"/>
      </w:pPr>
      <w:r>
        <w:rPr>
          <w:b/>
          <w:color w:val="1B365D"/>
        </w:rPr>
        <w:t xml:space="preserve">• Coordinadores de Deportes (1 y 2): </w:t>
      </w:r>
      <w:r>
        <w:rPr>
          <w:color w:val="2D3748"/>
        </w:rPr>
        <w:t>Responsables de planificar la logística de canchas, indumentaria, arbitrajes y campeonatos del curso en régimen de coordinación paritaria.</w:t>
      </w:r>
    </w:p>
    <w:p/>
    <w:p>
      <w:pPr>
        <w:pStyle w:val="Heading1"/>
      </w:pPr>
      <w:r>
        <w:rPr>
          <w:rFonts w:ascii="Arial" w:hAnsi="Arial"/>
          <w:b/>
          <w:color w:val="1B365D"/>
        </w:rPr>
        <w:t>2. Cuentas Claras: Gestión de la Caja Chica</w:t>
      </w:r>
    </w:p>
    <w:p>
      <w:pPr>
        <w:spacing w:line="276" w:lineRule="auto" w:after="240"/>
      </w:pPr>
      <w:r>
        <w:rPr>
          <w:color w:val="2D3748"/>
        </w:rPr>
        <w:t>El manejo económico es uno de los temas más delicados en cualquier grupo humano. Para evitar malentendidos, desconfianza y asegurar que cada centavo del curso esté bien invertido, el reglamento establece un sistema estricto de control:</w:t>
      </w:r>
    </w:p>
    <w:p>
      <w:pPr>
        <w:pStyle w:val="ListBullet"/>
      </w:pPr>
      <w:r>
        <w:rPr>
          <w:b/>
        </w:rPr>
        <w:t xml:space="preserve">El Monopolio de la Caja: </w:t>
      </w:r>
      <w:r>
        <w:rPr>
          <w:color w:val="2D3748"/>
        </w:rPr>
        <w:t>La Tesorera es la única autorizada para recaudar, custodiar y dispensar el dinero. Ningún otro directivo, ni siquiera el Presidente, puede disponer de los fondos comunes de manera directa.</w:t>
      </w:r>
    </w:p>
    <w:p>
      <w:pPr>
        <w:pStyle w:val="ListBullet"/>
      </w:pPr>
      <w:r>
        <w:rPr>
          <w:b/>
        </w:rPr>
        <w:t xml:space="preserve">La Regla del Respaldo: </w:t>
      </w:r>
      <w:r>
        <w:rPr>
          <w:color w:val="2D3748"/>
        </w:rPr>
        <w:t>Todo centavo que entre o salga de la caja chica debe contar obligatoriamente con un comprobante firmado, recibo o documento de descargo físico o digital.</w:t>
      </w:r>
    </w:p>
    <w:p>
      <w:pPr>
        <w:pStyle w:val="ListBullet"/>
      </w:pPr>
      <w:r>
        <w:rPr>
          <w:b/>
        </w:rPr>
        <w:t xml:space="preserve">Transparencia Activa: </w:t>
      </w:r>
      <w:r>
        <w:rPr>
          <w:color w:val="2D3748"/>
        </w:rPr>
        <w:t>Dentro de los primeros diez días de cada mes se publicará un balance financiero público para todo el curso. Cualquier estudiante tiene derecho a solicitar formalmente la revisión de estos comprobantes por escrito con una anticipación de 48 horas.</w:t>
      </w:r>
    </w:p>
    <w:p>
      <w:pPr>
        <w:pStyle w:val="ListBullet"/>
      </w:pPr>
      <w:r>
        <w:rPr>
          <w:b/>
        </w:rPr>
        <w:t xml:space="preserve">Límite de Privacidad Financiera: </w:t>
      </w:r>
      <w:r>
        <w:rPr>
          <w:color w:val="2D3748"/>
        </w:rPr>
        <w:t>Aunque las cuentas son 100% públicas, los registros de debate disciplinario e inestabilidades personales permanecen bajo reserva para proteger la honra y dignidad de los estudiantes involucrados.</w:t>
      </w:r>
    </w:p>
    <w:p/>
    <w:p>
      <w:pPr>
        <w:pStyle w:val="Heading1"/>
      </w:pPr>
      <w:r>
        <w:rPr>
          <w:rFonts w:ascii="Arial" w:hAnsi="Arial"/>
          <w:b/>
          <w:color w:val="1B365D"/>
        </w:rPr>
        <w:t>3. La Matemática del Consenso y Votaciones</w:t>
      </w:r>
    </w:p>
    <w:p>
      <w:pPr>
        <w:spacing w:line="276" w:lineRule="auto" w:after="240"/>
      </w:pPr>
      <w:r>
        <w:rPr>
          <w:color w:val="2D3748"/>
        </w:rPr>
        <w:t>Para que la Junta no actúe bajo caprichos individuales, cada decisión relevante debe someterse a votación. Dependiendo de la importancia y el impacto del tema, existen dos niveles de votación: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Nivel de Decisión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Votos Requeridos</w:t>
            </w:r>
          </w:p>
        </w:tc>
        <w:tc>
          <w:tcPr>
            <w:tcW w:type="dxa" w:w="4608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Asuntos que Aplica</w:t>
            </w:r>
          </w:p>
        </w:tc>
      </w:tr>
      <w:tr>
        <w:tc>
          <w:tcPr>
            <w:tcW w:type="dxa" w:w="2592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B365D"/>
                <w:sz w:val="19"/>
              </w:rPr>
              <w:t>Decisiones Ordinarias</w:t>
            </w:r>
          </w:p>
        </w:tc>
        <w:tc>
          <w:tcPr>
            <w:tcW w:type="dxa" w:w="2160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9"/>
              </w:rPr>
              <w:t>3 de 5 votos</w:t>
              <w:br/>
              <w:t>(Mayoría Simple)</w:t>
            </w:r>
          </w:p>
        </w:tc>
        <w:tc>
          <w:tcPr>
            <w:tcW w:type="dxa" w:w="4608"/>
            <w:shd w:val="clear" w:color="auto"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9"/>
              </w:rPr>
              <w:t>Temas rutinarios del curso, organización de actividades menores, compras de papelería, etc.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B365D"/>
                <w:sz w:val="19"/>
              </w:rPr>
              <w:t>Decisiones Extraordinarias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9"/>
              </w:rPr>
              <w:t>4 de 5 votos</w:t>
              <w:br/>
              <w:t>(Mayoría Cualificada)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color w:val="2D3748"/>
                <w:sz w:val="19"/>
              </w:rPr>
              <w:t>Aprobación de presupuestos elevados, proyectos web/tecnológicos significativos, alianzas con terceros, representación formal.</w:t>
            </w:r>
          </w:p>
        </w:tc>
      </w:tr>
    </w:tbl>
    <w:p/>
    <w:p>
      <w:pPr>
        <w:spacing w:line="276" w:lineRule="auto" w:after="240"/>
      </w:pPr>
      <w:r>
        <w:rPr>
          <w:b/>
        </w:rPr>
        <w:t xml:space="preserve">Regla del Voto de Calidad del Presidente: </w:t>
      </w:r>
      <w:r>
        <w:rPr>
          <w:color w:val="2D3748"/>
        </w:rPr>
        <w:t xml:space="preserve">Si hay empate real en votaciones ordinarias (por ejemplo, porque un miembro faltó con licencia), el Presidente tiene un voto adicional para decidir el rumbo. </w:t>
      </w:r>
      <w:r>
        <w:rPr>
          <w:color w:val="4A5568"/>
        </w:rPr>
        <w:t>Sin embargo, el voto de calidad del Presidente NUNCA se puede usar en decisiones extraordinarias. Si un presupuesto extraordinario solo junta 3 de 5 votos, se rechaza de inmediato; el Presidente no puede forzarlo.</w:t>
      </w:r>
    </w:p>
    <w:p>
      <w:pPr>
        <w:spacing w:line="276" w:lineRule="auto" w:after="240"/>
      </w:pPr>
      <w:r>
        <w:rPr>
          <w:b/>
        </w:rPr>
        <w:t xml:space="preserve">La Regla del Frente Unido (Unanimidad Pública): </w:t>
      </w:r>
      <w:r>
        <w:rPr>
          <w:color w:val="2D3748"/>
        </w:rPr>
        <w:t>Al interior del grupo cerrado de la Junta, los 5 directivos pueden debatir, discrepar y tener diferencias enérgicas. Pero una vez que se vota y se toma una decisión, los 5 integrantes tienen la obligación de defenderla en público con una sola voz frente al curso y los docentes. Está prohibido quejarse o desacreditar las decisiones de la Junta de forma externa.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B365D"/>
        </w:rPr>
        <w:t>4. Justicia Interna: El Debido Proceso</w:t>
      </w:r>
    </w:p>
    <w:p>
      <w:pPr>
        <w:spacing w:line="276" w:lineRule="auto" w:after="240"/>
      </w:pPr>
      <w:r>
        <w:rPr>
          <w:color w:val="2D3748"/>
        </w:rPr>
        <w:t>Cuando un integrante comete una falta (como faltar el respeto a un directivo, abandonar sus deberes o violar el pacto de confidencialidad filtrando chats privados), la Junta no puede sancionarlo arbitrariamente. Se aplica un procedimiento gradual y con plazos fijos inspirado en la justicia boliviana:</w:t>
      </w:r>
    </w:p>
    <w:p>
      <w:pPr>
        <w:pStyle w:val="ListBullet"/>
        <w:spacing w:after="120"/>
      </w:pPr>
      <w:r>
        <w:rPr>
          <w:b/>
          <w:color w:val="1B365D"/>
        </w:rPr>
        <w:t xml:space="preserve">1. Amonestación Privada Verbal: </w:t>
      </w:r>
      <w:r>
        <w:rPr>
          <w:color w:val="2D3748"/>
        </w:rPr>
        <w:t>Para faltas leves o iniciales. Se conversa en privado con el afectado, se asienta en la bitácora con los compromisos asumidos y no se hace público ante el curso.</w:t>
      </w:r>
    </w:p>
    <w:p>
      <w:pPr>
        <w:pStyle w:val="ListBullet"/>
        <w:spacing w:after="120"/>
      </w:pPr>
      <w:r>
        <w:rPr>
          <w:b/>
          <w:color w:val="1B365D"/>
        </w:rPr>
        <w:t xml:space="preserve">2. Amonestación Escrita Registrada: </w:t>
      </w:r>
      <w:r>
        <w:rPr>
          <w:color w:val="2D3748"/>
        </w:rPr>
        <w:t>Para casos de reincidencia o incumplimiento de compromisos anteriores. Se entrega una carta formal firmada por Presidencia y Secretaría.</w:t>
      </w:r>
    </w:p>
    <w:p>
      <w:pPr>
        <w:pStyle w:val="ListBullet"/>
        <w:spacing w:after="120"/>
      </w:pPr>
      <w:r>
        <w:rPr>
          <w:b/>
          <w:color w:val="1B365D"/>
        </w:rPr>
        <w:t xml:space="preserve">3. Proceso de Remoción del Cargo: </w:t>
      </w:r>
      <w:r>
        <w:rPr>
          <w:color w:val="2D3748"/>
        </w:rPr>
        <w:t>Aplicable por faltas gravísimas (como filtrar capturas de pantalla de la Junta o fraude). Requiere mayoría cualificada de 4 de 5 votos del pleno.</w:t>
      </w:r>
    </w:p>
    <w:p/>
    <w:p>
      <w:pPr>
        <w:spacing w:line="276" w:lineRule="auto" w:after="240"/>
      </w:pPr>
      <w:r>
        <w:rPr>
          <w:b/>
        </w:rPr>
        <w:t xml:space="preserve">El Escudo de la Defensa (Plazo de Descargos): </w:t>
      </w:r>
      <w:r>
        <w:rPr>
          <w:color w:val="2D3748"/>
        </w:rPr>
        <w:t xml:space="preserve">Antes de aplicar cualquier sanción o votar la remoción, el directivo acusado debe ser notificado formalmente y tiene un plazo de </w:t>
      </w:r>
      <w:r>
        <w:rPr>
          <w:b/>
        </w:rPr>
        <w:t>tres (3) días hábiles</w:t>
      </w:r>
      <w:r>
        <w:rPr>
          <w:color w:val="2D3748"/>
        </w:rPr>
        <w:t xml:space="preserve"> para preparar su defensa, exponer sus descargos y presentar sus pruebas orales o escritas ante el pleno.</w:t>
      </w:r>
    </w:p>
    <w:p>
      <w:pPr>
        <w:spacing w:line="276" w:lineRule="auto" w:after="240"/>
      </w:pPr>
      <w:r>
        <w:rPr>
          <w:b/>
        </w:rPr>
        <w:t xml:space="preserve">Sin Voto en Causa Propia (Conflicto de Interés): </w:t>
      </w:r>
      <w:r>
        <w:rPr>
          <w:color w:val="2D3748"/>
        </w:rPr>
        <w:t>Para asegurar una decisión justa, el directivo que está siendo juzgado tiene derecho a defenderse con voz, pero su derecho a voto queda suspendido en esa sesión. La remoción deberá ser aprobada por el voto unánime de los otros cuatro (4) integrantes de la directiva.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