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бучардирование, лощение; габаритные размеры 1050х85х30мм, калибровка по четырем сторонам, со шлифовкой и фасками 5мм по всем сторонам 1050×85×30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36 шт. (~36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1050×85×30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1,1×0,1×0,03×2700 ≈ 7,2 кг/плита, расчётно ~7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1050×85×30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(1050×85×30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1050×85×30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1050×85×30 мм осуществляется вручную (масса ~7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1050×85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1050×85×30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30 мм, необходимо задать толщину реза слэба с учётом припуска на калибровку и шлифовку обеих пластей (ориентировочно ~34—38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1050×85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(~34—38 мм с учётом припуска на калибровку до 30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~34—38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30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~1070×105 мм (с припуском на чистовое формообразование до 1050×85 мм) выполняется на мостовом станке SQC600-4D (макс. глубина реза 180 мм, диаметр диска 600 мм). Толщина слэба (~34—38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~1070×105×35—38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38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(~34—38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30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~34—38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~1070×105×35—38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~1070×105×30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30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30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30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(30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1050×85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(30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1050×85)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1050×85 мм с точностью по ГОСТ 23342-2012 выполняется на мостовом станке SQC600-4D. Глубина реза (толщина заготовки 30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~1070×105×30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1050×85×30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30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1050×85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1050×85×30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30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1050×85×30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30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30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1050×85×30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1050×85 мм открыта и доступна для обработки пневмобучардой по всей площади, а все зоны, подлежащие лощению (боковые грани толщиной 30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(30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30 мм. Мрамор при такой толщине чрезвычайно хрупок. Бучардирование — ударная операция, и при 30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1050×85×30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1050×85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30 мм и размерах 1050×85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1050×85×30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30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1050×85×30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1050×85×30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1050×85×30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30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(30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1050×85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1050×85×30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1050×85×30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1050×85×30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бучардирование, лощение; габаритные размеры 1050х85х30мм, калибровка по четырем сторонам, со шлифовкой и фасками 5мм по всем сторонам 1050×85×30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1050×85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1050×85×30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бучардирование, лощение; габаритные размеры 1050х85х30мм, калибровка по четырем сторонам, со шлифовкой и фасками 5мм по всем сторонам 1050×85×30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2026-04-06T15:09:24.708Z</dcterms:created>
  <dcterms:modified xsi:type="dcterms:W3CDTF">2026-04-06T15:09:24.708Z</dcterms:modified>
</cp:coreProperties>
</file>

<file path=docProps/custom.xml><?xml version="1.0" encoding="utf-8"?>
<Properties xmlns="http://schemas.openxmlformats.org/officeDocument/2006/custom-properties" xmlns:vt="http://schemas.openxmlformats.org/officeDocument/2006/docPropsVTypes"/>
</file>