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1300х85х30мм, калибровка по четырем сторонам, со шлифовкой и фасками 5мм по всем сторонам 1300×85×30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38 шт. (~38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1300×85×30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1,3×0,1×0,03×2700 ≈ 9,0 кг/плита, расчётно ~9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1300×85×30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(1300×85×30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1300×85×30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1300×85×30 мм осуществляется вручную (масса ~9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1300×85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1300×85×30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30 мм, необходимо задать толщину реза слэба с учётом припуска на калибровку и шлифовку обеих пластей (ориентировочно ~34—38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1300×85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(~34—38 мм с учётом припуска на калибровку до 30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~34—38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30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~1320×105 мм (с припуском на чистовое формообразование до 1300×85 мм) выполняется на мостовом станке SQC600-4D (макс. глубина реза 180 мм, диаметр диска 600 мм). Толщина слэба (~34—38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~1320×105×35—38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38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(~34—38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30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~34—38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~1320×105×35—38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~1320×105×30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30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30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30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(30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1300×85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(30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1300×85)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1300×85 мм с точностью по ГОСТ 23342-2012 выполняется на мостовом станке SQC600-4D. Глубина реза (толщина заготовки 30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~1320×105×30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1300×85×30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30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1300×85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1300×85×30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30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1300×85×30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30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30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1300×85×30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1300×85 мм открыта и доступна для обработки пневмобучардой по всей площади, а все зоны, подлежащие лощению (боковые грани толщиной 30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(30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30 мм. Мрамор при такой толщине чрезвычайно хрупок. Бучардирование — ударная операция, и при 30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1300×85×30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1300×85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30 мм и размерах 1300×85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1300×85×30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30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1300×85×30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1300×85×30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1300×85×30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30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(30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1300×85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1300×85×30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1300×85×30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85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85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1300×85×30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1300х85х30мм, калибровка по четырем сторонам, со шлифовкой и фасками 5мм по всем сторонам 1300×85×30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1300×85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1300×85×30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бучардирование, лощение; габаритные размеры 1300х85х30мм, калибровка по четырем сторонам, со шлифовкой и фасками 5мм по всем сторонам 1300×85×30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2026-04-06T15:02:49.305Z</dcterms:created>
  <dcterms:modified xsi:type="dcterms:W3CDTF">2026-04-06T15:02:49.305Z</dcterms:modified>
</cp:coreProperties>
</file>

<file path=docProps/custom.xml><?xml version="1.0" encoding="utf-8"?>
<Properties xmlns="http://schemas.openxmlformats.org/officeDocument/2006/custom-properties" xmlns:vt="http://schemas.openxmlformats.org/officeDocument/2006/docPropsVTypes"/>
</file>