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pPr>
        <w:jc w:val="center"/>
      </w:pPr>
      <w:r>
        <w:rPr>
          <w:b/>
          <w:color w:val="004D40"/>
          <w:sz w:val="44"/>
        </w:rPr>
        <w:t>PORTAFOLIO FORMAL DE PRUEBAS DE CAJA NEGRA</w:t>
        <w:br/>
        <w:t>(VERIFICACIÓN DE COMPORTAMIENTO, REGLAS Y COMPONENTES GRÁFICOS)</w:t>
      </w:r>
    </w:p>
    <w:p>
      <w:pPr>
        <w:spacing w:after="3200"/>
        <w:jc w:val="center"/>
      </w:pPr>
      <w:r>
        <w:rPr>
          <w:i/>
          <w:color w:val="00796B"/>
          <w:sz w:val="26"/>
        </w:rPr>
        <w:t>Validación del Ciclo de Vida del Usuario y Control de Erre de Interfaz para el Juego UNO (UnoGUI)</w:t>
      </w:r>
    </w:p>
    <w:p>
      <w:r>
        <w:rPr>
          <w:sz w:val="21"/>
        </w:rPr>
        <w:t>Estrategia de QA: Caja Negra Funcional (Black-Box / GUI Testing)</w:t>
        <w:br/>
        <w:t>Componentes Validados: VentanaInicio, VentanaJuego, Dialogs de Validación, Flujo de IA de Bots</w:t>
        <w:br/>
        <w:t>Criterios de Cobertura: Reglas de Descarte Oficiales, Eventos de Mouse, Cambio Dinámico de Turnos, Estado de Victoria</w:t>
      </w:r>
    </w:p>
    <w:p>
      <w:r>
        <w:br w:type="page"/>
      </w:r>
    </w:p>
    <w:p>
      <w:pPr>
        <w:keepNext/>
        <w:spacing w:before="280" w:after="120"/>
      </w:pPr>
      <w:r>
        <w:rPr>
          <w:rFonts w:ascii="Arial" w:hAnsi="Arial"/>
          <w:b/>
          <w:color w:val="004D40"/>
          <w:sz w:val="36"/>
        </w:rPr>
        <w:t>1. ALCANCE Y METODOLOGÍA DE LAS PRUEBAS DE CAJA NEGRA</w:t>
      </w:r>
    </w:p>
    <w:p>
      <w:pPr>
        <w:spacing w:before="0" w:after="120"/>
      </w:pPr>
      <w:r>
        <w:rPr>
          <w:color w:val="00796B"/>
          <w:sz w:val="18"/>
        </w:rPr>
        <w:t>――――――――――――――――――――――――――――――――――――――――――――――――――――――――――――</w:t>
      </w:r>
    </w:p>
    <w:p>
      <w:r>
        <w:t>Las pruebas de Caja Negra se enfocan exclusivamente en los requisitos funcionales del sistema basándose en sus interfaces externas. Sin intervenir ni examinar la estructura del código fuente subyacente, este enfoque de control de calidad evalúa las respuestas del sistema operativo ante estímulos del usuario final (eventos clic, ingreso de texto, interacción con botones) y asegura que la lógica de negocio del juego UNO se cumpla de manera estricta y transparente.</w:t>
      </w:r>
    </w:p>
    <w:p>
      <w:r>
        <w:t>A través de las evidencias gráficas recopiladas durante la ejecución de la interfaz gráfica del juego (UnoGUI), este portafolio documenta formalmente los escenarios de prueba correspondientes a las reglas funcionales en ejecución, la validación ante descartes de cartas erróneas, la automatización fluida de los turnos de la Inteligencia Artificial (Bots) y el manejo correcto del estado de conclusión del juego (Pantalla de Ganado).</w:t>
      </w:r>
    </w:p>
    <w:p>
      <w:pPr>
        <w:keepNext/>
        <w:spacing w:before="280" w:after="120"/>
      </w:pPr>
      <w:r>
        <w:rPr>
          <w:rFonts w:ascii="Arial" w:hAnsi="Arial"/>
          <w:b/>
          <w:color w:val="004D40"/>
          <w:sz w:val="36"/>
        </w:rPr>
        <w:t>2. MATRIZ FORMAL DE CASOS DE PRUEBA DE CAJA NEGRA (GUI)</w:t>
      </w:r>
    </w:p>
    <w:p>
      <w:pPr>
        <w:spacing w:before="0" w:after="120"/>
      </w:pPr>
      <w:r>
        <w:rPr>
          <w:color w:val="00796B"/>
          <w:sz w:val="18"/>
        </w:rPr>
        <w:t>――――――――――――――――――――――――――――――――――――――――――――――――――――――――――――</w:t>
      </w:r>
    </w:p>
    <w:p>
      <w:r>
        <w:t>Los siguientes casos especifican los estímulos inyectados a la interfaz de usuario de la aplicación, el comportamiento visual del software y el veredicto del equipo de QA según las capturas de pantalla provistas como evidencia de funcionamiento:</w:t>
      </w:r>
    </w:p>
    <w:p>
      <w:pPr>
        <w:keepNext/>
        <w:spacing w:before="280" w:after="120"/>
      </w:pPr>
      <w:r>
        <w:rPr>
          <w:rFonts w:ascii="Arial" w:hAnsi="Arial"/>
          <w:b/>
          <w:i/>
          <w:color w:val="212121"/>
          <w:sz w:val="23"/>
        </w:rPr>
        <w:t>Caso de Prueba CN-01: Despliegue Exitoso e Inicialización de la Interfaz de Partida</w:t>
      </w:r>
    </w:p>
    <w:tbl>
      <w:tblPr>
        <w:tblW w:type="auto" w:w="0"/>
        <w:jc w:val="center"/>
        <w:tblLook w:firstColumn="1" w:firstRow="1" w:lastColumn="0" w:lastRow="0" w:noHBand="0" w:noVBand="1" w:val="04A0"/>
      </w:tblPr>
      <w:tblGrid>
        <w:gridCol w:w="4680"/>
        <w:gridCol w:w="4680"/>
      </w:tblGrid>
      <w:tr>
        <w:tc>
          <w:tcPr>
            <w:tcW w:type="dxa" w:w="3168"/>
            <w:shd w:fill="004D40"/>
            <w:tcMar>
              <w:top w:w="100" w:type="dxa"/>
              <w:bottom w:w="100" w:type="dxa"/>
              <w:left w:w="150" w:type="dxa"/>
              <w:right w:w="150" w:type="dxa"/>
            </w:tcMar>
          </w:tcPr>
          <w:p>
            <w:r>
              <w:rPr>
                <w:b/>
                <w:color w:val="FFFFFF"/>
                <w:sz w:val="20"/>
              </w:rPr>
              <w:t>Atributo Funcional</w:t>
            </w:r>
          </w:p>
        </w:tc>
        <w:tc>
          <w:tcPr>
            <w:tcW w:type="dxa" w:w="6192"/>
            <w:shd w:fill="004D40"/>
            <w:tcMar>
              <w:top w:w="100" w:type="dxa"/>
              <w:bottom w:w="100" w:type="dxa"/>
              <w:left w:w="150" w:type="dxa"/>
              <w:right w:w="150" w:type="dxa"/>
            </w:tcMar>
          </w:tcPr>
          <w:p>
            <w:r>
              <w:rPr>
                <w:b/>
                <w:color w:val="FFFFFF"/>
                <w:sz w:val="20"/>
              </w:rPr>
              <w:t>Especificación de Validación Externa</w:t>
            </w:r>
          </w:p>
        </w:tc>
      </w:tr>
      <w:tr>
        <w:tc>
          <w:tcPr>
            <w:tcW w:type="dxa" w:w="3168"/>
            <w:shd w:fill="F5F5F5"/>
            <w:tcMar>
              <w:top w:w="80" w:type="dxa"/>
              <w:bottom w:w="80" w:type="dxa"/>
              <w:left w:w="150" w:type="dxa"/>
              <w:right w:w="150" w:type="dxa"/>
            </w:tcMar>
          </w:tcPr>
          <w:p>
            <w:r>
              <w:rPr>
                <w:b/>
                <w:sz w:val="19"/>
              </w:rPr>
              <w:t>Entrada / Estímulo de Interfaz</w:t>
            </w:r>
          </w:p>
        </w:tc>
        <w:tc>
          <w:tcPr>
            <w:tcW w:type="dxa" w:w="6192"/>
            <w:tcMar>
              <w:top w:w="80" w:type="dxa"/>
              <w:bottom w:w="80" w:type="dxa"/>
              <w:left w:w="150" w:type="dxa"/>
              <w:right w:w="150" w:type="dxa"/>
            </w:tcMar>
          </w:tcPr>
          <w:p>
            <w:r>
              <w:rPr>
                <w:sz w:val="20"/>
              </w:rPr>
              <w:t>Nombre de usuario válido introducido en la pantalla de bienvenida y clic en 'Iniciar Juego'.</w:t>
            </w:r>
          </w:p>
        </w:tc>
      </w:tr>
      <w:tr>
        <w:tc>
          <w:tcPr>
            <w:tcW w:type="dxa" w:w="3168"/>
            <w:shd w:fill="F5F5F5"/>
            <w:tcMar>
              <w:top w:w="80" w:type="dxa"/>
              <w:bottom w:w="80" w:type="dxa"/>
              <w:left w:w="150" w:type="dxa"/>
              <w:right w:w="150" w:type="dxa"/>
            </w:tcMar>
          </w:tcPr>
          <w:p>
            <w:r>
              <w:rPr>
                <w:b/>
                <w:sz w:val="19"/>
              </w:rPr>
              <w:t>Precondiciones del Entorno</w:t>
            </w:r>
          </w:p>
        </w:tc>
        <w:tc>
          <w:tcPr>
            <w:tcW w:type="dxa" w:w="6192"/>
            <w:tcMar>
              <w:top w:w="80" w:type="dxa"/>
              <w:bottom w:w="80" w:type="dxa"/>
              <w:left w:w="150" w:type="dxa"/>
              <w:right w:w="150" w:type="dxa"/>
            </w:tcMar>
          </w:tcPr>
          <w:p>
            <w:r>
              <w:rPr>
                <w:sz w:val="20"/>
              </w:rPr>
              <w:t>El software compila correctamente y el usuario supera el formulario de acceso inicial.</w:t>
            </w:r>
          </w:p>
        </w:tc>
      </w:tr>
      <w:tr>
        <w:tc>
          <w:tcPr>
            <w:tcW w:type="dxa" w:w="3168"/>
            <w:shd w:fill="F5F5F5"/>
            <w:tcMar>
              <w:top w:w="80" w:type="dxa"/>
              <w:bottom w:w="80" w:type="dxa"/>
              <w:left w:w="150" w:type="dxa"/>
              <w:right w:w="150" w:type="dxa"/>
            </w:tcMar>
          </w:tcPr>
          <w:p>
            <w:r>
              <w:rPr>
                <w:b/>
                <w:sz w:val="19"/>
              </w:rPr>
              <w:t>Pasos Secuenciales de Ejecución</w:t>
            </w:r>
          </w:p>
        </w:tc>
        <w:tc>
          <w:tcPr>
            <w:tcW w:type="dxa" w:w="6192"/>
            <w:tcMar>
              <w:top w:w="80" w:type="dxa"/>
              <w:bottom w:w="80" w:type="dxa"/>
              <w:left w:w="150" w:type="dxa"/>
              <w:right w:w="150" w:type="dxa"/>
            </w:tcMar>
          </w:tcPr>
          <w:p>
            <w:r>
              <w:rPr>
                <w:sz w:val="20"/>
              </w:rPr>
              <w:t>1. Iniciar la aplicación desde la clase Main.</w:t>
              <w:br/>
              <w:t>2. Ingresar el nombre en la caja de diálogo de inicio.</w:t>
              <w:br/>
              <w:t>3. Verificar el redibujado completo del tablero principal.</w:t>
            </w:r>
          </w:p>
        </w:tc>
      </w:tr>
      <w:tr>
        <w:tc>
          <w:tcPr>
            <w:tcW w:type="dxa" w:w="3168"/>
            <w:shd w:fill="F5F5F5"/>
            <w:tcMar>
              <w:top w:w="80" w:type="dxa"/>
              <w:bottom w:w="80" w:type="dxa"/>
              <w:left w:w="150" w:type="dxa"/>
              <w:right w:w="150" w:type="dxa"/>
            </w:tcMar>
          </w:tcPr>
          <w:p>
            <w:r>
              <w:rPr>
                <w:b/>
                <w:sz w:val="19"/>
              </w:rPr>
              <w:t>Comportamiento Observado (Output)</w:t>
            </w:r>
          </w:p>
        </w:tc>
        <w:tc>
          <w:tcPr>
            <w:tcW w:type="dxa" w:w="6192"/>
            <w:tcMar>
              <w:top w:w="80" w:type="dxa"/>
              <w:bottom w:w="80" w:type="dxa"/>
              <w:left w:w="150" w:type="dxa"/>
              <w:right w:w="150" w:type="dxa"/>
            </w:tcMar>
          </w:tcPr>
          <w:p>
            <w:r>
              <w:rPr>
                <w:sz w:val="20"/>
              </w:rPr>
              <w:t>Se despliega la ventana 'UNO - PARTIDA' con dimensiones correctas de 1300x750 píxeles. El Panel Sur muestra el set de cartas iniciales del jugador humano en forma de botones de colores, y el mazo central de descarte muestra la carta activa inicial.</w:t>
            </w:r>
          </w:p>
        </w:tc>
      </w:tr>
      <w:tr>
        <w:tc>
          <w:tcPr>
            <w:tcW w:type="dxa" w:w="3168"/>
            <w:shd w:fill="F5F5F5"/>
            <w:tcMar>
              <w:top w:w="80" w:type="dxa"/>
              <w:bottom w:w="80" w:type="dxa"/>
              <w:left w:w="150" w:type="dxa"/>
              <w:right w:w="150" w:type="dxa"/>
            </w:tcMar>
          </w:tcPr>
          <w:p>
            <w:r>
              <w:rPr>
                <w:b/>
                <w:sz w:val="19"/>
              </w:rPr>
              <w:t>Resultado Esperado (Criterio de Aceptación)</w:t>
            </w:r>
          </w:p>
        </w:tc>
        <w:tc>
          <w:tcPr>
            <w:tcW w:type="dxa" w:w="6192"/>
            <w:tcMar>
              <w:top w:w="80" w:type="dxa"/>
              <w:bottom w:w="80" w:type="dxa"/>
              <w:left w:w="150" w:type="dxa"/>
              <w:right w:w="150" w:type="dxa"/>
            </w:tcMar>
          </w:tcPr>
          <w:p>
            <w:r>
              <w:rPr>
                <w:sz w:val="20"/>
              </w:rPr>
              <w:t>La GUI debe inicializar de forma asíncrona todos los paneles del juego y el mazo sin arrojar excepciones de carga gráfica o cuelgues.</w:t>
            </w:r>
          </w:p>
        </w:tc>
      </w:tr>
      <w:tr>
        <w:tc>
          <w:tcPr>
            <w:tcW w:type="dxa" w:w="3168"/>
            <w:shd w:fill="F5F5F5"/>
            <w:tcMar>
              <w:top w:w="80" w:type="dxa"/>
              <w:bottom w:w="80" w:type="dxa"/>
              <w:left w:w="150" w:type="dxa"/>
              <w:right w:w="150" w:type="dxa"/>
            </w:tcMar>
          </w:tcPr>
          <w:p>
            <w:r>
              <w:rPr>
                <w:b/>
                <w:sz w:val="19"/>
              </w:rPr>
              <w:t>Dictamen / Estado</w:t>
            </w:r>
          </w:p>
        </w:tc>
        <w:tc>
          <w:tcPr>
            <w:tcW w:type="dxa" w:w="6192"/>
            <w:tcMar>
              <w:top w:w="80" w:type="dxa"/>
              <w:bottom w:w="80" w:type="dxa"/>
              <w:left w:w="150" w:type="dxa"/>
              <w:right w:w="150" w:type="dxa"/>
            </w:tcMar>
          </w:tcPr>
          <w:p>
            <w:r>
              <w:rPr>
                <w:b/>
                <w:color w:val="2E7D32"/>
                <w:sz w:val="20"/>
              </w:rPr>
              <w:t>APROBADO (Exitoso)</w:t>
            </w:r>
          </w:p>
        </w:tc>
      </w:tr>
    </w:tbl>
    <w:p>
      <w:pPr>
        <w:spacing w:after="80"/>
      </w:pPr>
    </w:p>
    <w:p>
      <w:pPr>
        <w:keepNext/>
        <w:spacing w:before="280" w:after="120"/>
      </w:pPr>
      <w:r>
        <w:rPr>
          <w:rFonts w:ascii="Arial" w:hAnsi="Arial"/>
          <w:b/>
          <w:i/>
          <w:color w:val="212121"/>
          <w:sz w:val="23"/>
        </w:rPr>
        <w:t>Caso de Prueba CN-02: Detección de Eventos Mouse Click sobre la Mano del Jugador</w:t>
      </w:r>
    </w:p>
    <w:tbl>
      <w:tblPr>
        <w:tblW w:type="auto" w:w="0"/>
        <w:jc w:val="center"/>
        <w:tblLook w:firstColumn="1" w:firstRow="1" w:lastColumn="0" w:lastRow="0" w:noHBand="0" w:noVBand="1" w:val="04A0"/>
      </w:tblPr>
      <w:tblGrid>
        <w:gridCol w:w="4680"/>
        <w:gridCol w:w="4680"/>
      </w:tblGrid>
      <w:tr>
        <w:tc>
          <w:tcPr>
            <w:tcW w:type="dxa" w:w="3168"/>
            <w:shd w:fill="004D40"/>
            <w:tcMar>
              <w:top w:w="100" w:type="dxa"/>
              <w:bottom w:w="100" w:type="dxa"/>
              <w:left w:w="150" w:type="dxa"/>
              <w:right w:w="150" w:type="dxa"/>
            </w:tcMar>
          </w:tcPr>
          <w:p>
            <w:r>
              <w:rPr>
                <w:b/>
                <w:color w:val="FFFFFF"/>
                <w:sz w:val="20"/>
              </w:rPr>
              <w:t>Atributo Funcional</w:t>
            </w:r>
          </w:p>
        </w:tc>
        <w:tc>
          <w:tcPr>
            <w:tcW w:type="dxa" w:w="6192"/>
            <w:shd w:fill="004D40"/>
            <w:tcMar>
              <w:top w:w="100" w:type="dxa"/>
              <w:bottom w:w="100" w:type="dxa"/>
              <w:left w:w="150" w:type="dxa"/>
              <w:right w:w="150" w:type="dxa"/>
            </w:tcMar>
          </w:tcPr>
          <w:p>
            <w:r>
              <w:rPr>
                <w:b/>
                <w:color w:val="FFFFFF"/>
                <w:sz w:val="20"/>
              </w:rPr>
              <w:t>Especificación de Validación Externa</w:t>
            </w:r>
          </w:p>
        </w:tc>
      </w:tr>
      <w:tr>
        <w:tc>
          <w:tcPr>
            <w:tcW w:type="dxa" w:w="3168"/>
            <w:shd w:fill="F5F5F5"/>
            <w:tcMar>
              <w:top w:w="80" w:type="dxa"/>
              <w:bottom w:w="80" w:type="dxa"/>
              <w:left w:w="150" w:type="dxa"/>
              <w:right w:w="150" w:type="dxa"/>
            </w:tcMar>
          </w:tcPr>
          <w:p>
            <w:r>
              <w:rPr>
                <w:b/>
                <w:sz w:val="19"/>
              </w:rPr>
              <w:t>Entrada / Estímulo de Interfaz</w:t>
            </w:r>
          </w:p>
        </w:tc>
        <w:tc>
          <w:tcPr>
            <w:tcW w:type="dxa" w:w="6192"/>
            <w:tcMar>
              <w:top w:w="80" w:type="dxa"/>
              <w:bottom w:w="80" w:type="dxa"/>
              <w:left w:w="150" w:type="dxa"/>
              <w:right w:w="150" w:type="dxa"/>
            </w:tcMar>
          </w:tcPr>
          <w:p>
            <w:r>
              <w:rPr>
                <w:sz w:val="20"/>
              </w:rPr>
              <w:t>Clic izquierdo de mouse sobre uno de los botones de carta situados en el panel del jugador (Panel Sur).</w:t>
            </w:r>
          </w:p>
        </w:tc>
      </w:tr>
      <w:tr>
        <w:tc>
          <w:tcPr>
            <w:tcW w:type="dxa" w:w="3168"/>
            <w:shd w:fill="F5F5F5"/>
            <w:tcMar>
              <w:top w:w="80" w:type="dxa"/>
              <w:bottom w:w="80" w:type="dxa"/>
              <w:left w:w="150" w:type="dxa"/>
              <w:right w:w="150" w:type="dxa"/>
            </w:tcMar>
          </w:tcPr>
          <w:p>
            <w:r>
              <w:rPr>
                <w:b/>
                <w:sz w:val="19"/>
              </w:rPr>
              <w:t>Precondiciones del Entorno</w:t>
            </w:r>
          </w:p>
        </w:tc>
        <w:tc>
          <w:tcPr>
            <w:tcW w:type="dxa" w:w="6192"/>
            <w:tcMar>
              <w:top w:w="80" w:type="dxa"/>
              <w:bottom w:w="80" w:type="dxa"/>
              <w:left w:w="150" w:type="dxa"/>
              <w:right w:w="150" w:type="dxa"/>
            </w:tcMar>
          </w:tcPr>
          <w:p>
            <w:r>
              <w:rPr>
                <w:sz w:val="20"/>
              </w:rPr>
              <w:t>Es el turno activo del jugador humano y posee al menos una carta válida en su mano.</w:t>
            </w:r>
          </w:p>
        </w:tc>
      </w:tr>
      <w:tr>
        <w:tc>
          <w:tcPr>
            <w:tcW w:type="dxa" w:w="3168"/>
            <w:shd w:fill="F5F5F5"/>
            <w:tcMar>
              <w:top w:w="80" w:type="dxa"/>
              <w:bottom w:w="80" w:type="dxa"/>
              <w:left w:w="150" w:type="dxa"/>
              <w:right w:w="150" w:type="dxa"/>
            </w:tcMar>
          </w:tcPr>
          <w:p>
            <w:r>
              <w:rPr>
                <w:b/>
                <w:sz w:val="19"/>
              </w:rPr>
              <w:t>Pasos Secuenciales de Ejecución</w:t>
            </w:r>
          </w:p>
        </w:tc>
        <w:tc>
          <w:tcPr>
            <w:tcW w:type="dxa" w:w="6192"/>
            <w:tcMar>
              <w:top w:w="80" w:type="dxa"/>
              <w:bottom w:w="80" w:type="dxa"/>
              <w:left w:w="150" w:type="dxa"/>
              <w:right w:w="150" w:type="dxa"/>
            </w:tcMar>
          </w:tcPr>
          <w:p>
            <w:r>
              <w:rPr>
                <w:sz w:val="20"/>
              </w:rPr>
              <w:t>1. Posicionar el cursor sobre el botón que representa la carta deseada.</w:t>
              <w:br/>
              <w:t>2. Presionar el botón izquierdo del ratón para gatillar el ActionListener inyectado.</w:t>
            </w:r>
          </w:p>
        </w:tc>
      </w:tr>
      <w:tr>
        <w:tc>
          <w:tcPr>
            <w:tcW w:type="dxa" w:w="3168"/>
            <w:shd w:fill="F5F5F5"/>
            <w:tcMar>
              <w:top w:w="80" w:type="dxa"/>
              <w:bottom w:w="80" w:type="dxa"/>
              <w:left w:w="150" w:type="dxa"/>
              <w:right w:w="150" w:type="dxa"/>
            </w:tcMar>
          </w:tcPr>
          <w:p>
            <w:r>
              <w:rPr>
                <w:b/>
                <w:sz w:val="19"/>
              </w:rPr>
              <w:t>Comportamiento Observado (Output)</w:t>
            </w:r>
          </w:p>
        </w:tc>
        <w:tc>
          <w:tcPr>
            <w:tcW w:type="dxa" w:w="6192"/>
            <w:tcMar>
              <w:top w:w="80" w:type="dxa"/>
              <w:bottom w:w="80" w:type="dxa"/>
              <w:left w:w="150" w:type="dxa"/>
              <w:right w:w="150" w:type="dxa"/>
            </w:tcMar>
          </w:tcPr>
          <w:p>
            <w:r>
              <w:rPr>
                <w:sz w:val="20"/>
              </w:rPr>
              <w:t>El botón captura el evento de manera inmediata. El JTextArea lateral de bitácora registra la acción del jugador de manera transparente y el sistema procesa la validación del descarte.</w:t>
            </w:r>
          </w:p>
        </w:tc>
      </w:tr>
      <w:tr>
        <w:tc>
          <w:tcPr>
            <w:tcW w:type="dxa" w:w="3168"/>
            <w:shd w:fill="F5F5F5"/>
            <w:tcMar>
              <w:top w:w="80" w:type="dxa"/>
              <w:bottom w:w="80" w:type="dxa"/>
              <w:left w:w="150" w:type="dxa"/>
              <w:right w:w="150" w:type="dxa"/>
            </w:tcMar>
          </w:tcPr>
          <w:p>
            <w:r>
              <w:rPr>
                <w:b/>
                <w:sz w:val="19"/>
              </w:rPr>
              <w:t>Resultado Esperado (Criterio de Aceptación)</w:t>
            </w:r>
          </w:p>
        </w:tc>
        <w:tc>
          <w:tcPr>
            <w:tcW w:type="dxa" w:w="6192"/>
            <w:tcMar>
              <w:top w:w="80" w:type="dxa"/>
              <w:bottom w:w="80" w:type="dxa"/>
              <w:left w:w="150" w:type="dxa"/>
              <w:right w:w="150" w:type="dxa"/>
            </w:tcMar>
          </w:tcPr>
          <w:p>
            <w:r>
              <w:rPr>
                <w:sz w:val="20"/>
              </w:rPr>
              <w:t>Cada botón de la mano del usuario debe responder de forma reactiva al estímulo táctil o del mouse, enlazando correctamente el evento con el motor interno del juego.</w:t>
            </w:r>
          </w:p>
        </w:tc>
      </w:tr>
      <w:tr>
        <w:tc>
          <w:tcPr>
            <w:tcW w:type="dxa" w:w="3168"/>
            <w:shd w:fill="F5F5F5"/>
            <w:tcMar>
              <w:top w:w="80" w:type="dxa"/>
              <w:bottom w:w="80" w:type="dxa"/>
              <w:left w:w="150" w:type="dxa"/>
              <w:right w:w="150" w:type="dxa"/>
            </w:tcMar>
          </w:tcPr>
          <w:p>
            <w:r>
              <w:rPr>
                <w:b/>
                <w:sz w:val="19"/>
              </w:rPr>
              <w:t>Dictamen / Estado</w:t>
            </w:r>
          </w:p>
        </w:tc>
        <w:tc>
          <w:tcPr>
            <w:tcW w:type="dxa" w:w="6192"/>
            <w:tcMar>
              <w:top w:w="80" w:type="dxa"/>
              <w:bottom w:w="80" w:type="dxa"/>
              <w:left w:w="150" w:type="dxa"/>
              <w:right w:w="150" w:type="dxa"/>
            </w:tcMar>
          </w:tcPr>
          <w:p>
            <w:r>
              <w:rPr>
                <w:b/>
                <w:color w:val="2E7D32"/>
                <w:sz w:val="20"/>
              </w:rPr>
              <w:t>APROBADO (Exitoso)</w:t>
            </w:r>
          </w:p>
        </w:tc>
      </w:tr>
    </w:tbl>
    <w:p>
      <w:pPr>
        <w:spacing w:after="80"/>
      </w:pPr>
    </w:p>
    <w:p>
      <w:pPr>
        <w:keepNext/>
        <w:spacing w:before="280" w:after="120"/>
      </w:pPr>
      <w:r>
        <w:rPr>
          <w:rFonts w:ascii="Arial" w:hAnsi="Arial"/>
          <w:b/>
          <w:i/>
          <w:color w:val="212121"/>
          <w:sz w:val="23"/>
        </w:rPr>
        <w:t>Caso de Prueba CN-03: Validación de Descarte Exitoso por Coincidencia de Color o Símbolo</w:t>
      </w:r>
    </w:p>
    <w:tbl>
      <w:tblPr>
        <w:tblW w:type="auto" w:w="0"/>
        <w:jc w:val="center"/>
        <w:tblLook w:firstColumn="1" w:firstRow="1" w:lastColumn="0" w:lastRow="0" w:noHBand="0" w:noVBand="1" w:val="04A0"/>
      </w:tblPr>
      <w:tblGrid>
        <w:gridCol w:w="4680"/>
        <w:gridCol w:w="4680"/>
      </w:tblGrid>
      <w:tr>
        <w:tc>
          <w:tcPr>
            <w:tcW w:type="dxa" w:w="3168"/>
            <w:shd w:fill="004D40"/>
            <w:tcMar>
              <w:top w:w="100" w:type="dxa"/>
              <w:bottom w:w="100" w:type="dxa"/>
              <w:left w:w="150" w:type="dxa"/>
              <w:right w:w="150" w:type="dxa"/>
            </w:tcMar>
          </w:tcPr>
          <w:p>
            <w:r>
              <w:rPr>
                <w:b/>
                <w:color w:val="FFFFFF"/>
                <w:sz w:val="20"/>
              </w:rPr>
              <w:t>Atributo Funcional</w:t>
            </w:r>
          </w:p>
        </w:tc>
        <w:tc>
          <w:tcPr>
            <w:tcW w:type="dxa" w:w="6192"/>
            <w:shd w:fill="004D40"/>
            <w:tcMar>
              <w:top w:w="100" w:type="dxa"/>
              <w:bottom w:w="100" w:type="dxa"/>
              <w:left w:w="150" w:type="dxa"/>
              <w:right w:w="150" w:type="dxa"/>
            </w:tcMar>
          </w:tcPr>
          <w:p>
            <w:r>
              <w:rPr>
                <w:b/>
                <w:color w:val="FFFFFF"/>
                <w:sz w:val="20"/>
              </w:rPr>
              <w:t>Especificación de Validación Externa</w:t>
            </w:r>
          </w:p>
        </w:tc>
      </w:tr>
      <w:tr>
        <w:tc>
          <w:tcPr>
            <w:tcW w:type="dxa" w:w="3168"/>
            <w:shd w:fill="F5F5F5"/>
            <w:tcMar>
              <w:top w:w="80" w:type="dxa"/>
              <w:bottom w:w="80" w:type="dxa"/>
              <w:left w:w="150" w:type="dxa"/>
              <w:right w:w="150" w:type="dxa"/>
            </w:tcMar>
          </w:tcPr>
          <w:p>
            <w:r>
              <w:rPr>
                <w:b/>
                <w:sz w:val="19"/>
              </w:rPr>
              <w:t>Entrada / Estímulo de Interfaz</w:t>
            </w:r>
          </w:p>
        </w:tc>
        <w:tc>
          <w:tcPr>
            <w:tcW w:type="dxa" w:w="6192"/>
            <w:tcMar>
              <w:top w:w="80" w:type="dxa"/>
              <w:bottom w:w="80" w:type="dxa"/>
              <w:left w:w="150" w:type="dxa"/>
              <w:right w:w="150" w:type="dxa"/>
            </w:tcMar>
          </w:tcPr>
          <w:p>
            <w:r>
              <w:rPr>
                <w:sz w:val="20"/>
              </w:rPr>
              <w:t>Clic sobre una carta de la mano del jugador que comparte el mismo color o número/tipo que la carta expuesta en la pila de descarte central.</w:t>
            </w:r>
          </w:p>
        </w:tc>
      </w:tr>
      <w:tr>
        <w:tc>
          <w:tcPr>
            <w:tcW w:type="dxa" w:w="3168"/>
            <w:shd w:fill="F5F5F5"/>
            <w:tcMar>
              <w:top w:w="80" w:type="dxa"/>
              <w:bottom w:w="80" w:type="dxa"/>
              <w:left w:w="150" w:type="dxa"/>
              <w:right w:w="150" w:type="dxa"/>
            </w:tcMar>
          </w:tcPr>
          <w:p>
            <w:r>
              <w:rPr>
                <w:b/>
                <w:sz w:val="19"/>
              </w:rPr>
              <w:t>Precondiciones del Entorno</w:t>
            </w:r>
          </w:p>
        </w:tc>
        <w:tc>
          <w:tcPr>
            <w:tcW w:type="dxa" w:w="6192"/>
            <w:tcMar>
              <w:top w:w="80" w:type="dxa"/>
              <w:bottom w:w="80" w:type="dxa"/>
              <w:left w:w="150" w:type="dxa"/>
              <w:right w:w="150" w:type="dxa"/>
            </w:tcMar>
          </w:tcPr>
          <w:p>
            <w:r>
              <w:rPr>
                <w:sz w:val="20"/>
              </w:rPr>
              <w:t>La mesa muestra una carta base (ej. 'Verde de Número 5') y el jugador tiene una carta compatible (ej. 'Verde de Número 2' o 'Azul de Número 5').</w:t>
            </w:r>
          </w:p>
        </w:tc>
      </w:tr>
      <w:tr>
        <w:tc>
          <w:tcPr>
            <w:tcW w:type="dxa" w:w="3168"/>
            <w:shd w:fill="F5F5F5"/>
            <w:tcMar>
              <w:top w:w="80" w:type="dxa"/>
              <w:bottom w:w="80" w:type="dxa"/>
              <w:left w:w="150" w:type="dxa"/>
              <w:right w:w="150" w:type="dxa"/>
            </w:tcMar>
          </w:tcPr>
          <w:p>
            <w:r>
              <w:rPr>
                <w:b/>
                <w:sz w:val="19"/>
              </w:rPr>
              <w:t>Pasos Secuenciales de Ejecución</w:t>
            </w:r>
          </w:p>
        </w:tc>
        <w:tc>
          <w:tcPr>
            <w:tcW w:type="dxa" w:w="6192"/>
            <w:tcMar>
              <w:top w:w="80" w:type="dxa"/>
              <w:bottom w:w="80" w:type="dxa"/>
              <w:left w:w="150" w:type="dxa"/>
              <w:right w:w="150" w:type="dxa"/>
            </w:tcMar>
          </w:tcPr>
          <w:p>
            <w:r>
              <w:rPr>
                <w:sz w:val="20"/>
              </w:rPr>
              <w:t>1. Identificar una carta válida en la interfaz visual.</w:t>
              <w:br/>
              <w:t>2. Dar clic sobre dicha carta para ejecutar la jugada.</w:t>
            </w:r>
          </w:p>
        </w:tc>
      </w:tr>
      <w:tr>
        <w:tc>
          <w:tcPr>
            <w:tcW w:type="dxa" w:w="3168"/>
            <w:shd w:fill="F5F5F5"/>
            <w:tcMar>
              <w:top w:w="80" w:type="dxa"/>
              <w:bottom w:w="80" w:type="dxa"/>
              <w:left w:w="150" w:type="dxa"/>
              <w:right w:w="150" w:type="dxa"/>
            </w:tcMar>
          </w:tcPr>
          <w:p>
            <w:r>
              <w:rPr>
                <w:b/>
                <w:sz w:val="19"/>
              </w:rPr>
              <w:t>Comportamiento Observado (Output)</w:t>
            </w:r>
          </w:p>
        </w:tc>
        <w:tc>
          <w:tcPr>
            <w:tcW w:type="dxa" w:w="6192"/>
            <w:tcMar>
              <w:top w:w="80" w:type="dxa"/>
              <w:bottom w:w="80" w:type="dxa"/>
              <w:left w:w="150" w:type="dxa"/>
              <w:right w:w="150" w:type="dxa"/>
            </w:tcMar>
          </w:tcPr>
          <w:p>
            <w:r>
              <w:rPr>
                <w:sz w:val="20"/>
              </w:rPr>
              <w:t>La carta seleccionada desaparece instantáneamente de la mano del jugador (Panel Sur). La pila central se actualiza mostrando la nueva carta jugada. El JTextArea imprime: 'Has jugado la carta...' actualizando el flujo de la partida de forma inmediata.</w:t>
            </w:r>
          </w:p>
        </w:tc>
      </w:tr>
      <w:tr>
        <w:tc>
          <w:tcPr>
            <w:tcW w:type="dxa" w:w="3168"/>
            <w:shd w:fill="F5F5F5"/>
            <w:tcMar>
              <w:top w:w="80" w:type="dxa"/>
              <w:bottom w:w="80" w:type="dxa"/>
              <w:left w:w="150" w:type="dxa"/>
              <w:right w:w="150" w:type="dxa"/>
            </w:tcMar>
          </w:tcPr>
          <w:p>
            <w:r>
              <w:rPr>
                <w:b/>
                <w:sz w:val="19"/>
              </w:rPr>
              <w:t>Resultado Esperado (Criterio de Aceptación)</w:t>
            </w:r>
          </w:p>
        </w:tc>
        <w:tc>
          <w:tcPr>
            <w:tcW w:type="dxa" w:w="6192"/>
            <w:tcMar>
              <w:top w:w="80" w:type="dxa"/>
              <w:bottom w:w="80" w:type="dxa"/>
              <w:left w:w="150" w:type="dxa"/>
              <w:right w:w="150" w:type="dxa"/>
            </w:tcMar>
          </w:tcPr>
          <w:p>
            <w:r>
              <w:rPr>
                <w:sz w:val="20"/>
              </w:rPr>
              <w:t>El sistema debe permitir el descarte, remover físicamente el botón de la interfaz del usuario, actualizar la carta central de la mesa y transferir el turno secuencial.</w:t>
            </w:r>
          </w:p>
        </w:tc>
      </w:tr>
      <w:tr>
        <w:tc>
          <w:tcPr>
            <w:tcW w:type="dxa" w:w="3168"/>
            <w:shd w:fill="F5F5F5"/>
            <w:tcMar>
              <w:top w:w="80" w:type="dxa"/>
              <w:bottom w:w="80" w:type="dxa"/>
              <w:left w:w="150" w:type="dxa"/>
              <w:right w:w="150" w:type="dxa"/>
            </w:tcMar>
          </w:tcPr>
          <w:p>
            <w:r>
              <w:rPr>
                <w:b/>
                <w:sz w:val="19"/>
              </w:rPr>
              <w:t>Dictamen / Estado</w:t>
            </w:r>
          </w:p>
        </w:tc>
        <w:tc>
          <w:tcPr>
            <w:tcW w:type="dxa" w:w="6192"/>
            <w:tcMar>
              <w:top w:w="80" w:type="dxa"/>
              <w:bottom w:w="80" w:type="dxa"/>
              <w:left w:w="150" w:type="dxa"/>
              <w:right w:w="150" w:type="dxa"/>
            </w:tcMar>
          </w:tcPr>
          <w:p>
            <w:r>
              <w:rPr>
                <w:b/>
                <w:color w:val="2E7D32"/>
                <w:sz w:val="20"/>
              </w:rPr>
              <w:t>APROBADO (Exitoso)</w:t>
            </w:r>
          </w:p>
        </w:tc>
      </w:tr>
    </w:tbl>
    <w:p>
      <w:pPr>
        <w:spacing w:after="80"/>
      </w:pPr>
    </w:p>
    <w:p>
      <w:pPr>
        <w:keepNext/>
        <w:spacing w:before="280" w:after="120"/>
      </w:pPr>
      <w:r>
        <w:rPr>
          <w:rFonts w:ascii="Arial" w:hAnsi="Arial"/>
          <w:b/>
          <w:i/>
          <w:color w:val="212121"/>
          <w:sz w:val="23"/>
        </w:rPr>
        <w:t>Caso de Prueba CN-04: Restricción de Descarte e Intercepción de Jugadas Inválidas</w:t>
      </w:r>
    </w:p>
    <w:tbl>
      <w:tblPr>
        <w:tblW w:type="auto" w:w="0"/>
        <w:jc w:val="center"/>
        <w:tblLook w:firstColumn="1" w:firstRow="1" w:lastColumn="0" w:lastRow="0" w:noHBand="0" w:noVBand="1" w:val="04A0"/>
      </w:tblPr>
      <w:tblGrid>
        <w:gridCol w:w="4680"/>
        <w:gridCol w:w="4680"/>
      </w:tblGrid>
      <w:tr>
        <w:tc>
          <w:tcPr>
            <w:tcW w:type="dxa" w:w="3168"/>
            <w:shd w:fill="004D40"/>
            <w:tcMar>
              <w:top w:w="100" w:type="dxa"/>
              <w:bottom w:w="100" w:type="dxa"/>
              <w:left w:w="150" w:type="dxa"/>
              <w:right w:w="150" w:type="dxa"/>
            </w:tcMar>
          </w:tcPr>
          <w:p>
            <w:r>
              <w:rPr>
                <w:b/>
                <w:color w:val="FFFFFF"/>
                <w:sz w:val="20"/>
              </w:rPr>
              <w:t>Atributo Funcional</w:t>
            </w:r>
          </w:p>
        </w:tc>
        <w:tc>
          <w:tcPr>
            <w:tcW w:type="dxa" w:w="6192"/>
            <w:shd w:fill="004D40"/>
            <w:tcMar>
              <w:top w:w="100" w:type="dxa"/>
              <w:bottom w:w="100" w:type="dxa"/>
              <w:left w:w="150" w:type="dxa"/>
              <w:right w:w="150" w:type="dxa"/>
            </w:tcMar>
          </w:tcPr>
          <w:p>
            <w:r>
              <w:rPr>
                <w:b/>
                <w:color w:val="FFFFFF"/>
                <w:sz w:val="20"/>
              </w:rPr>
              <w:t>Especificación de Validación Externa</w:t>
            </w:r>
          </w:p>
        </w:tc>
      </w:tr>
      <w:tr>
        <w:tc>
          <w:tcPr>
            <w:tcW w:type="dxa" w:w="3168"/>
            <w:shd w:fill="F5F5F5"/>
            <w:tcMar>
              <w:top w:w="80" w:type="dxa"/>
              <w:bottom w:w="80" w:type="dxa"/>
              <w:left w:w="150" w:type="dxa"/>
              <w:right w:w="150" w:type="dxa"/>
            </w:tcMar>
          </w:tcPr>
          <w:p>
            <w:r>
              <w:rPr>
                <w:b/>
                <w:sz w:val="19"/>
              </w:rPr>
              <w:t>Entrada / Estímulo de Interfaz</w:t>
            </w:r>
          </w:p>
        </w:tc>
        <w:tc>
          <w:tcPr>
            <w:tcW w:type="dxa" w:w="6192"/>
            <w:tcMar>
              <w:top w:w="80" w:type="dxa"/>
              <w:bottom w:w="80" w:type="dxa"/>
              <w:left w:w="150" w:type="dxa"/>
              <w:right w:w="150" w:type="dxa"/>
            </w:tcMar>
          </w:tcPr>
          <w:p>
            <w:r>
              <w:rPr>
                <w:sz w:val="20"/>
              </w:rPr>
              <w:t>Clic sobre una carta en el Panel Sur cuyo color y símbolo difieren totalmente de la carta activa en la mesa.</w:t>
            </w:r>
          </w:p>
        </w:tc>
      </w:tr>
      <w:tr>
        <w:tc>
          <w:tcPr>
            <w:tcW w:type="dxa" w:w="3168"/>
            <w:shd w:fill="F5F5F5"/>
            <w:tcMar>
              <w:top w:w="80" w:type="dxa"/>
              <w:bottom w:w="80" w:type="dxa"/>
              <w:left w:w="150" w:type="dxa"/>
              <w:right w:w="150" w:type="dxa"/>
            </w:tcMar>
          </w:tcPr>
          <w:p>
            <w:r>
              <w:rPr>
                <w:b/>
                <w:sz w:val="19"/>
              </w:rPr>
              <w:t>Precondiciones del Entorno</w:t>
            </w:r>
          </w:p>
        </w:tc>
        <w:tc>
          <w:tcPr>
            <w:tcW w:type="dxa" w:w="6192"/>
            <w:tcMar>
              <w:top w:w="80" w:type="dxa"/>
              <w:bottom w:w="80" w:type="dxa"/>
              <w:left w:w="150" w:type="dxa"/>
              <w:right w:w="150" w:type="dxa"/>
            </w:tcMar>
          </w:tcPr>
          <w:p>
            <w:r>
              <w:rPr>
                <w:sz w:val="20"/>
              </w:rPr>
              <w:t>La mesa posee una carta restrictiva y el usuario intenta realizar un descarte fuera de la norma legal del juego.</w:t>
            </w:r>
          </w:p>
        </w:tc>
      </w:tr>
      <w:tr>
        <w:tc>
          <w:tcPr>
            <w:tcW w:type="dxa" w:w="3168"/>
            <w:shd w:fill="F5F5F5"/>
            <w:tcMar>
              <w:top w:w="80" w:type="dxa"/>
              <w:bottom w:w="80" w:type="dxa"/>
              <w:left w:w="150" w:type="dxa"/>
              <w:right w:w="150" w:type="dxa"/>
            </w:tcMar>
          </w:tcPr>
          <w:p>
            <w:r>
              <w:rPr>
                <w:b/>
                <w:sz w:val="19"/>
              </w:rPr>
              <w:t>Pasos Secuenciales de Ejecución</w:t>
            </w:r>
          </w:p>
        </w:tc>
        <w:tc>
          <w:tcPr>
            <w:tcW w:type="dxa" w:w="6192"/>
            <w:tcMar>
              <w:top w:w="80" w:type="dxa"/>
              <w:bottom w:w="80" w:type="dxa"/>
              <w:left w:w="150" w:type="dxa"/>
              <w:right w:w="150" w:type="dxa"/>
            </w:tcMar>
          </w:tcPr>
          <w:p>
            <w:r>
              <w:rPr>
                <w:sz w:val="20"/>
              </w:rPr>
              <w:t>1. Seleccionar intencionalmente una carta no compatible por color ni número.</w:t>
              <w:br/>
              <w:t>2. Ejecutar click sobre el botón de dicha carta.</w:t>
              <w:br/>
              <w:t>3. Evaluar la respuesta de la interfaz gráfica.</w:t>
            </w:r>
          </w:p>
        </w:tc>
      </w:tr>
      <w:tr>
        <w:tc>
          <w:tcPr>
            <w:tcW w:type="dxa" w:w="3168"/>
            <w:shd w:fill="F5F5F5"/>
            <w:tcMar>
              <w:top w:w="80" w:type="dxa"/>
              <w:bottom w:w="80" w:type="dxa"/>
              <w:left w:w="150" w:type="dxa"/>
              <w:right w:w="150" w:type="dxa"/>
            </w:tcMar>
          </w:tcPr>
          <w:p>
            <w:r>
              <w:rPr>
                <w:b/>
                <w:sz w:val="19"/>
              </w:rPr>
              <w:t>Comportamiento Observado (Output)</w:t>
            </w:r>
          </w:p>
        </w:tc>
        <w:tc>
          <w:tcPr>
            <w:tcW w:type="dxa" w:w="6192"/>
            <w:tcMar>
              <w:top w:w="80" w:type="dxa"/>
              <w:bottom w:w="80" w:type="dxa"/>
              <w:left w:w="150" w:type="dxa"/>
              <w:right w:w="150" w:type="dxa"/>
            </w:tcMar>
          </w:tcPr>
          <w:p>
            <w:r>
              <w:rPr>
                <w:sz w:val="20"/>
              </w:rPr>
              <w:t>El sistema intercepta la acción de manera inmediata. Se despliega un cuadro de diálogo flotante modal informativo (`JOptionPane.showMessageDialog`) con el mensaje restrictivo indicando al usuario que la carta seleccionada no cumple con las reglas vigentes. La mano del jugador permanece inalterada.</w:t>
            </w:r>
          </w:p>
        </w:tc>
      </w:tr>
      <w:tr>
        <w:tc>
          <w:tcPr>
            <w:tcW w:type="dxa" w:w="3168"/>
            <w:shd w:fill="F5F5F5"/>
            <w:tcMar>
              <w:top w:w="80" w:type="dxa"/>
              <w:bottom w:w="80" w:type="dxa"/>
              <w:left w:w="150" w:type="dxa"/>
              <w:right w:w="150" w:type="dxa"/>
            </w:tcMar>
          </w:tcPr>
          <w:p>
            <w:r>
              <w:rPr>
                <w:b/>
                <w:sz w:val="19"/>
              </w:rPr>
              <w:t>Resultado Esperado (Criterio de Aceptación)</w:t>
            </w:r>
          </w:p>
        </w:tc>
        <w:tc>
          <w:tcPr>
            <w:tcW w:type="dxa" w:w="6192"/>
            <w:tcMar>
              <w:top w:w="80" w:type="dxa"/>
              <w:bottom w:w="80" w:type="dxa"/>
              <w:left w:w="150" w:type="dxa"/>
              <w:right w:w="150" w:type="dxa"/>
            </w:tcMar>
          </w:tcPr>
          <w:p>
            <w:r>
              <w:rPr>
                <w:sz w:val="20"/>
              </w:rPr>
              <w:t>La GUI debe bloquear el descarte inválido, alertar al usuario por medio de un aviso visual emergente y mantener el estado del juego intacto, sin ceder el turno de manera errónea.</w:t>
            </w:r>
          </w:p>
        </w:tc>
      </w:tr>
      <w:tr>
        <w:tc>
          <w:tcPr>
            <w:tcW w:type="dxa" w:w="3168"/>
            <w:shd w:fill="F5F5F5"/>
            <w:tcMar>
              <w:top w:w="80" w:type="dxa"/>
              <w:bottom w:w="80" w:type="dxa"/>
              <w:left w:w="150" w:type="dxa"/>
              <w:right w:w="150" w:type="dxa"/>
            </w:tcMar>
          </w:tcPr>
          <w:p>
            <w:r>
              <w:rPr>
                <w:b/>
                <w:sz w:val="19"/>
              </w:rPr>
              <w:t>Dictamen / Estado</w:t>
            </w:r>
          </w:p>
        </w:tc>
        <w:tc>
          <w:tcPr>
            <w:tcW w:type="dxa" w:w="6192"/>
            <w:tcMar>
              <w:top w:w="80" w:type="dxa"/>
              <w:bottom w:w="80" w:type="dxa"/>
              <w:left w:w="150" w:type="dxa"/>
              <w:right w:w="150" w:type="dxa"/>
            </w:tcMar>
          </w:tcPr>
          <w:p>
            <w:r>
              <w:rPr>
                <w:b/>
                <w:color w:val="2E7D32"/>
                <w:sz w:val="20"/>
              </w:rPr>
              <w:t>APROBADO (Exitoso)</w:t>
            </w:r>
          </w:p>
        </w:tc>
      </w:tr>
    </w:tbl>
    <w:p>
      <w:pPr>
        <w:spacing w:after="80"/>
      </w:pPr>
    </w:p>
    <w:p>
      <w:pPr>
        <w:keepNext/>
        <w:spacing w:before="280" w:after="120"/>
      </w:pPr>
      <w:r>
        <w:rPr>
          <w:rFonts w:ascii="Arial" w:hAnsi="Arial"/>
          <w:b/>
          <w:i/>
          <w:color w:val="212121"/>
          <w:sz w:val="23"/>
        </w:rPr>
        <w:t>Caso de Prueba CN-05: Procesamiento y Cambio Automático de Turno de los Bots (IA)</w:t>
      </w:r>
    </w:p>
    <w:tbl>
      <w:tblPr>
        <w:tblW w:type="auto" w:w="0"/>
        <w:jc w:val="center"/>
        <w:tblLook w:firstColumn="1" w:firstRow="1" w:lastColumn="0" w:lastRow="0" w:noHBand="0" w:noVBand="1" w:val="04A0"/>
      </w:tblPr>
      <w:tblGrid>
        <w:gridCol w:w="4680"/>
        <w:gridCol w:w="4680"/>
      </w:tblGrid>
      <w:tr>
        <w:tc>
          <w:tcPr>
            <w:tcW w:type="dxa" w:w="3168"/>
            <w:shd w:fill="004D40"/>
            <w:tcMar>
              <w:top w:w="100" w:type="dxa"/>
              <w:bottom w:w="100" w:type="dxa"/>
              <w:left w:w="150" w:type="dxa"/>
              <w:right w:w="150" w:type="dxa"/>
            </w:tcMar>
          </w:tcPr>
          <w:p>
            <w:r>
              <w:rPr>
                <w:b/>
                <w:color w:val="FFFFFF"/>
                <w:sz w:val="20"/>
              </w:rPr>
              <w:t>Atributo Funcional</w:t>
            </w:r>
          </w:p>
        </w:tc>
        <w:tc>
          <w:tcPr>
            <w:tcW w:type="dxa" w:w="6192"/>
            <w:shd w:fill="004D40"/>
            <w:tcMar>
              <w:top w:w="100" w:type="dxa"/>
              <w:bottom w:w="100" w:type="dxa"/>
              <w:left w:w="150" w:type="dxa"/>
              <w:right w:w="150" w:type="dxa"/>
            </w:tcMar>
          </w:tcPr>
          <w:p>
            <w:r>
              <w:rPr>
                <w:b/>
                <w:color w:val="FFFFFF"/>
                <w:sz w:val="20"/>
              </w:rPr>
              <w:t>Especificación de Validación Externa</w:t>
            </w:r>
          </w:p>
        </w:tc>
      </w:tr>
      <w:tr>
        <w:tc>
          <w:tcPr>
            <w:tcW w:type="dxa" w:w="3168"/>
            <w:shd w:fill="F5F5F5"/>
            <w:tcMar>
              <w:top w:w="80" w:type="dxa"/>
              <w:bottom w:w="80" w:type="dxa"/>
              <w:left w:w="150" w:type="dxa"/>
              <w:right w:w="150" w:type="dxa"/>
            </w:tcMar>
          </w:tcPr>
          <w:p>
            <w:r>
              <w:rPr>
                <w:b/>
                <w:sz w:val="19"/>
              </w:rPr>
              <w:t>Entrada / Estímulo de Interfaz</w:t>
            </w:r>
          </w:p>
        </w:tc>
        <w:tc>
          <w:tcPr>
            <w:tcW w:type="dxa" w:w="6192"/>
            <w:tcMar>
              <w:top w:w="80" w:type="dxa"/>
              <w:bottom w:w="80" w:type="dxa"/>
              <w:left w:w="150" w:type="dxa"/>
              <w:right w:w="150" w:type="dxa"/>
            </w:tcMar>
          </w:tcPr>
          <w:p>
            <w:r>
              <w:rPr>
                <w:sz w:val="20"/>
              </w:rPr>
              <w:t>Conclusión del turno del jugador humano (mediante descarte válido o pulsación del botón 'Pasar Turno').</w:t>
            </w:r>
          </w:p>
        </w:tc>
      </w:tr>
      <w:tr>
        <w:tc>
          <w:tcPr>
            <w:tcW w:type="dxa" w:w="3168"/>
            <w:shd w:fill="F5F5F5"/>
            <w:tcMar>
              <w:top w:w="80" w:type="dxa"/>
              <w:bottom w:w="80" w:type="dxa"/>
              <w:left w:w="150" w:type="dxa"/>
              <w:right w:w="150" w:type="dxa"/>
            </w:tcMar>
          </w:tcPr>
          <w:p>
            <w:r>
              <w:rPr>
                <w:b/>
                <w:sz w:val="19"/>
              </w:rPr>
              <w:t>Precondiciones del Entorno</w:t>
            </w:r>
          </w:p>
        </w:tc>
        <w:tc>
          <w:tcPr>
            <w:tcW w:type="dxa" w:w="6192"/>
            <w:tcMar>
              <w:top w:w="80" w:type="dxa"/>
              <w:bottom w:w="80" w:type="dxa"/>
              <w:left w:w="150" w:type="dxa"/>
              <w:right w:w="150" w:type="dxa"/>
            </w:tcMar>
          </w:tcPr>
          <w:p>
            <w:r>
              <w:rPr>
                <w:sz w:val="20"/>
              </w:rPr>
              <w:t>Los hilos de temporización (`javax.swing.Timer`) de la Inteligencia Artificial están activos y configurados a 1500ms.</w:t>
            </w:r>
          </w:p>
        </w:tc>
      </w:tr>
      <w:tr>
        <w:tc>
          <w:tcPr>
            <w:tcW w:type="dxa" w:w="3168"/>
            <w:shd w:fill="F5F5F5"/>
            <w:tcMar>
              <w:top w:w="80" w:type="dxa"/>
              <w:bottom w:w="80" w:type="dxa"/>
              <w:left w:w="150" w:type="dxa"/>
              <w:right w:w="150" w:type="dxa"/>
            </w:tcMar>
          </w:tcPr>
          <w:p>
            <w:r>
              <w:rPr>
                <w:b/>
                <w:sz w:val="19"/>
              </w:rPr>
              <w:t>Pasos Secuenciales de Ejecución</w:t>
            </w:r>
          </w:p>
        </w:tc>
        <w:tc>
          <w:tcPr>
            <w:tcW w:type="dxa" w:w="6192"/>
            <w:tcMar>
              <w:top w:w="80" w:type="dxa"/>
              <w:bottom w:w="80" w:type="dxa"/>
              <w:left w:w="150" w:type="dxa"/>
              <w:right w:w="150" w:type="dxa"/>
            </w:tcMar>
          </w:tcPr>
          <w:p>
            <w:r>
              <w:rPr>
                <w:sz w:val="20"/>
              </w:rPr>
              <w:t>1. Finalizar exitosamente el turno del jugador humano.</w:t>
              <w:br/>
              <w:t>2. Observar de manera pasiva el flujo de ejecución automático en la bitácora lateral de la pantalla.</w:t>
            </w:r>
          </w:p>
        </w:tc>
      </w:tr>
      <w:tr>
        <w:tc>
          <w:tcPr>
            <w:tcW w:type="dxa" w:w="3168"/>
            <w:shd w:fill="F5F5F5"/>
            <w:tcMar>
              <w:top w:w="80" w:type="dxa"/>
              <w:bottom w:w="80" w:type="dxa"/>
              <w:left w:w="150" w:type="dxa"/>
              <w:right w:w="150" w:type="dxa"/>
            </w:tcMar>
          </w:tcPr>
          <w:p>
            <w:r>
              <w:rPr>
                <w:b/>
                <w:sz w:val="19"/>
              </w:rPr>
              <w:t>Comportamiento Observado (Output)</w:t>
            </w:r>
          </w:p>
        </w:tc>
        <w:tc>
          <w:tcPr>
            <w:tcW w:type="dxa" w:w="6192"/>
            <w:tcMar>
              <w:top w:w="80" w:type="dxa"/>
              <w:bottom w:w="80" w:type="dxa"/>
              <w:left w:w="150" w:type="dxa"/>
              <w:right w:w="150" w:type="dxa"/>
            </w:tcMar>
          </w:tcPr>
          <w:p>
            <w:r>
              <w:rPr>
                <w:sz w:val="20"/>
              </w:rPr>
              <w:t>El control del flujo se transfiere secuencialmente a los componentes virtuales (`Tona`, `Pepe`, `Mari`). La caja de texto lateral de la ventana de juego añade líneas informativas en tiempo real detallando qué carta lanza cada bot o si se ven obligados a robar del mazo.</w:t>
            </w:r>
          </w:p>
        </w:tc>
      </w:tr>
      <w:tr>
        <w:tc>
          <w:tcPr>
            <w:tcW w:type="dxa" w:w="3168"/>
            <w:shd w:fill="F5F5F5"/>
            <w:tcMar>
              <w:top w:w="80" w:type="dxa"/>
              <w:bottom w:w="80" w:type="dxa"/>
              <w:left w:w="150" w:type="dxa"/>
              <w:right w:w="150" w:type="dxa"/>
            </w:tcMar>
          </w:tcPr>
          <w:p>
            <w:r>
              <w:rPr>
                <w:b/>
                <w:sz w:val="19"/>
              </w:rPr>
              <w:t>Resultado Esperado (Criterio de Aceptación)</w:t>
            </w:r>
          </w:p>
        </w:tc>
        <w:tc>
          <w:tcPr>
            <w:tcW w:type="dxa" w:w="6192"/>
            <w:tcMar>
              <w:top w:w="80" w:type="dxa"/>
              <w:bottom w:w="80" w:type="dxa"/>
              <w:left w:w="150" w:type="dxa"/>
              <w:right w:w="150" w:type="dxa"/>
            </w:tcMar>
          </w:tcPr>
          <w:p>
            <w:r>
              <w:rPr>
                <w:sz w:val="20"/>
              </w:rPr>
              <w:t>Los bots deben responder de manera secuencial y automatizada tras el delay programado, actualizando la mesa gráfica y la bitácora sin requerir intervención o clics adicionales por parte del usuario humano.</w:t>
            </w:r>
          </w:p>
        </w:tc>
      </w:tr>
      <w:tr>
        <w:tc>
          <w:tcPr>
            <w:tcW w:type="dxa" w:w="3168"/>
            <w:shd w:fill="F5F5F5"/>
            <w:tcMar>
              <w:top w:w="80" w:type="dxa"/>
              <w:bottom w:w="80" w:type="dxa"/>
              <w:left w:w="150" w:type="dxa"/>
              <w:right w:w="150" w:type="dxa"/>
            </w:tcMar>
          </w:tcPr>
          <w:p>
            <w:r>
              <w:rPr>
                <w:b/>
                <w:sz w:val="19"/>
              </w:rPr>
              <w:t>Dictamen / Estado</w:t>
            </w:r>
          </w:p>
        </w:tc>
        <w:tc>
          <w:tcPr>
            <w:tcW w:type="dxa" w:w="6192"/>
            <w:tcMar>
              <w:top w:w="80" w:type="dxa"/>
              <w:bottom w:w="80" w:type="dxa"/>
              <w:left w:w="150" w:type="dxa"/>
              <w:right w:w="150" w:type="dxa"/>
            </w:tcMar>
          </w:tcPr>
          <w:p>
            <w:r>
              <w:rPr>
                <w:b/>
                <w:color w:val="2E7D32"/>
                <w:sz w:val="20"/>
              </w:rPr>
              <w:t>APROBADO (Exitoso)</w:t>
            </w:r>
          </w:p>
        </w:tc>
      </w:tr>
    </w:tbl>
    <w:p>
      <w:pPr>
        <w:spacing w:after="80"/>
      </w:pPr>
    </w:p>
    <w:p>
      <w:pPr>
        <w:keepNext/>
        <w:spacing w:before="280" w:after="120"/>
      </w:pPr>
      <w:r>
        <w:rPr>
          <w:rFonts w:ascii="Arial" w:hAnsi="Arial"/>
          <w:b/>
          <w:i/>
          <w:color w:val="212121"/>
          <w:sz w:val="23"/>
        </w:rPr>
        <w:t>Caso de Prueba CN-06: Validación del Estado de Victoria y Pantalla de Conclusión de Partida</w:t>
      </w:r>
    </w:p>
    <w:tbl>
      <w:tblPr>
        <w:tblW w:type="auto" w:w="0"/>
        <w:jc w:val="center"/>
        <w:tblLook w:firstColumn="1" w:firstRow="1" w:lastColumn="0" w:lastRow="0" w:noHBand="0" w:noVBand="1" w:val="04A0"/>
      </w:tblPr>
      <w:tblGrid>
        <w:gridCol w:w="4680"/>
        <w:gridCol w:w="4680"/>
      </w:tblGrid>
      <w:tr>
        <w:tc>
          <w:tcPr>
            <w:tcW w:type="dxa" w:w="3168"/>
            <w:shd w:fill="004D40"/>
            <w:tcMar>
              <w:top w:w="100" w:type="dxa"/>
              <w:bottom w:w="100" w:type="dxa"/>
              <w:left w:w="150" w:type="dxa"/>
              <w:right w:w="150" w:type="dxa"/>
            </w:tcMar>
          </w:tcPr>
          <w:p>
            <w:r>
              <w:rPr>
                <w:b/>
                <w:color w:val="FFFFFF"/>
                <w:sz w:val="20"/>
              </w:rPr>
              <w:t>Atributo Funcional</w:t>
            </w:r>
          </w:p>
        </w:tc>
        <w:tc>
          <w:tcPr>
            <w:tcW w:type="dxa" w:w="6192"/>
            <w:shd w:fill="004D40"/>
            <w:tcMar>
              <w:top w:w="100" w:type="dxa"/>
              <w:bottom w:w="100" w:type="dxa"/>
              <w:left w:w="150" w:type="dxa"/>
              <w:right w:w="150" w:type="dxa"/>
            </w:tcMar>
          </w:tcPr>
          <w:p>
            <w:r>
              <w:rPr>
                <w:b/>
                <w:color w:val="FFFFFF"/>
                <w:sz w:val="20"/>
              </w:rPr>
              <w:t>Especificación de Validación Externa</w:t>
            </w:r>
          </w:p>
        </w:tc>
      </w:tr>
      <w:tr>
        <w:tc>
          <w:tcPr>
            <w:tcW w:type="dxa" w:w="3168"/>
            <w:shd w:fill="F5F5F5"/>
            <w:tcMar>
              <w:top w:w="80" w:type="dxa"/>
              <w:bottom w:w="80" w:type="dxa"/>
              <w:left w:w="150" w:type="dxa"/>
              <w:right w:w="150" w:type="dxa"/>
            </w:tcMar>
          </w:tcPr>
          <w:p>
            <w:r>
              <w:rPr>
                <w:b/>
                <w:sz w:val="19"/>
              </w:rPr>
              <w:t>Entrada / Estímulo de Interfaz</w:t>
            </w:r>
          </w:p>
        </w:tc>
        <w:tc>
          <w:tcPr>
            <w:tcW w:type="dxa" w:w="6192"/>
            <w:tcMar>
              <w:top w:w="80" w:type="dxa"/>
              <w:bottom w:w="80" w:type="dxa"/>
              <w:left w:w="150" w:type="dxa"/>
              <w:right w:w="150" w:type="dxa"/>
            </w:tcMar>
          </w:tcPr>
          <w:p>
            <w:r>
              <w:rPr>
                <w:sz w:val="20"/>
              </w:rPr>
              <w:t>Un jugador (humano o bot) realiza el descarte de la última carta de su mano, reduciendo el tamaño de su colección a cero.</w:t>
            </w:r>
          </w:p>
        </w:tc>
      </w:tr>
      <w:tr>
        <w:tc>
          <w:tcPr>
            <w:tcW w:type="dxa" w:w="3168"/>
            <w:shd w:fill="F5F5F5"/>
            <w:tcMar>
              <w:top w:w="80" w:type="dxa"/>
              <w:bottom w:w="80" w:type="dxa"/>
              <w:left w:w="150" w:type="dxa"/>
              <w:right w:w="150" w:type="dxa"/>
            </w:tcMar>
          </w:tcPr>
          <w:p>
            <w:r>
              <w:rPr>
                <w:b/>
                <w:sz w:val="19"/>
              </w:rPr>
              <w:t>Precondiciones del Entorno</w:t>
            </w:r>
          </w:p>
        </w:tc>
        <w:tc>
          <w:tcPr>
            <w:tcW w:type="dxa" w:w="6192"/>
            <w:tcMar>
              <w:top w:w="80" w:type="dxa"/>
              <w:bottom w:w="80" w:type="dxa"/>
              <w:left w:w="150" w:type="dxa"/>
              <w:right w:w="150" w:type="dxa"/>
            </w:tcMar>
          </w:tcPr>
          <w:p>
            <w:r>
              <w:rPr>
                <w:sz w:val="20"/>
              </w:rPr>
              <w:t>El juego se encuentra en la etapa final con un participante a una sola carta de distancia del triunfo.</w:t>
            </w:r>
          </w:p>
        </w:tc>
      </w:tr>
      <w:tr>
        <w:tc>
          <w:tcPr>
            <w:tcW w:type="dxa" w:w="3168"/>
            <w:shd w:fill="F5F5F5"/>
            <w:tcMar>
              <w:top w:w="80" w:type="dxa"/>
              <w:bottom w:w="80" w:type="dxa"/>
              <w:left w:w="150" w:type="dxa"/>
              <w:right w:w="150" w:type="dxa"/>
            </w:tcMar>
          </w:tcPr>
          <w:p>
            <w:r>
              <w:rPr>
                <w:b/>
                <w:sz w:val="19"/>
              </w:rPr>
              <w:t>Pasos Secuenciales de Ejecución</w:t>
            </w:r>
          </w:p>
        </w:tc>
        <w:tc>
          <w:tcPr>
            <w:tcW w:type="dxa" w:w="6192"/>
            <w:tcMar>
              <w:top w:w="80" w:type="dxa"/>
              <w:bottom w:w="80" w:type="dxa"/>
              <w:left w:w="150" w:type="dxa"/>
              <w:right w:w="150" w:type="dxa"/>
            </w:tcMar>
          </w:tcPr>
          <w:p>
            <w:r>
              <w:rPr>
                <w:sz w:val="20"/>
              </w:rPr>
              <w:t>1. Ejecutar el descarte de la última carta reglamentaria.</w:t>
              <w:br/>
              <w:t>2. Verificar la interrupción del bucle del juego y el despliegue del componente final.</w:t>
            </w:r>
          </w:p>
        </w:tc>
      </w:tr>
      <w:tr>
        <w:tc>
          <w:tcPr>
            <w:tcW w:type="dxa" w:w="3168"/>
            <w:shd w:fill="F5F5F5"/>
            <w:tcMar>
              <w:top w:w="80" w:type="dxa"/>
              <w:bottom w:w="80" w:type="dxa"/>
              <w:left w:w="150" w:type="dxa"/>
              <w:right w:w="150" w:type="dxa"/>
            </w:tcMar>
          </w:tcPr>
          <w:p>
            <w:r>
              <w:rPr>
                <w:b/>
                <w:sz w:val="19"/>
              </w:rPr>
              <w:t>Comportamiento Observado (Output)</w:t>
            </w:r>
          </w:p>
        </w:tc>
        <w:tc>
          <w:tcPr>
            <w:tcW w:type="dxa" w:w="6192"/>
            <w:tcMar>
              <w:top w:w="80" w:type="dxa"/>
              <w:bottom w:w="80" w:type="dxa"/>
              <w:left w:w="150" w:type="dxa"/>
              <w:right w:w="150" w:type="dxa"/>
            </w:tcMar>
          </w:tcPr>
          <w:p>
            <w:r>
              <w:rPr>
                <w:sz w:val="20"/>
              </w:rPr>
              <w:t>El juego se detiene inmediatamente bloqueando el Timer de los bots. Se despliega de manera flotante una ventana o cuadro emergente formal de felicitaciones notificando explícitamente el nombre del ganador de la partida y cerrando los controles de la sesión activa.</w:t>
            </w:r>
          </w:p>
        </w:tc>
      </w:tr>
      <w:tr>
        <w:tc>
          <w:tcPr>
            <w:tcW w:type="dxa" w:w="3168"/>
            <w:shd w:fill="F5F5F5"/>
            <w:tcMar>
              <w:top w:w="80" w:type="dxa"/>
              <w:bottom w:w="80" w:type="dxa"/>
              <w:left w:w="150" w:type="dxa"/>
              <w:right w:w="150" w:type="dxa"/>
            </w:tcMar>
          </w:tcPr>
          <w:p>
            <w:r>
              <w:rPr>
                <w:b/>
                <w:sz w:val="19"/>
              </w:rPr>
              <w:t>Resultado Esperado (Criterio de Aceptación)</w:t>
            </w:r>
          </w:p>
        </w:tc>
        <w:tc>
          <w:tcPr>
            <w:tcW w:type="dxa" w:w="6192"/>
            <w:tcMar>
              <w:top w:w="80" w:type="dxa"/>
              <w:bottom w:w="80" w:type="dxa"/>
              <w:left w:w="150" w:type="dxa"/>
              <w:right w:w="150" w:type="dxa"/>
            </w:tcMar>
          </w:tcPr>
          <w:p>
            <w:r>
              <w:rPr>
                <w:sz w:val="20"/>
              </w:rPr>
              <w:t>Al vaciarse la mano de cualquier participante, el sistema debe proclamar la victoria de manera elegante por interfaz gráfica, congelar las acciones de juego y ofrecer una salida limpia de la sesión de juego.</w:t>
            </w:r>
          </w:p>
        </w:tc>
      </w:tr>
      <w:tr>
        <w:tc>
          <w:tcPr>
            <w:tcW w:type="dxa" w:w="3168"/>
            <w:shd w:fill="F5F5F5"/>
            <w:tcMar>
              <w:top w:w="80" w:type="dxa"/>
              <w:bottom w:w="80" w:type="dxa"/>
              <w:left w:w="150" w:type="dxa"/>
              <w:right w:w="150" w:type="dxa"/>
            </w:tcMar>
          </w:tcPr>
          <w:p>
            <w:r>
              <w:rPr>
                <w:b/>
                <w:sz w:val="19"/>
              </w:rPr>
              <w:t>Dictamen / Estado</w:t>
            </w:r>
          </w:p>
        </w:tc>
        <w:tc>
          <w:tcPr>
            <w:tcW w:type="dxa" w:w="6192"/>
            <w:tcMar>
              <w:top w:w="80" w:type="dxa"/>
              <w:bottom w:w="80" w:type="dxa"/>
              <w:left w:w="150" w:type="dxa"/>
              <w:right w:w="150" w:type="dxa"/>
            </w:tcMar>
          </w:tcPr>
          <w:p>
            <w:r>
              <w:rPr>
                <w:b/>
                <w:color w:val="2E7D32"/>
                <w:sz w:val="20"/>
              </w:rPr>
              <w:t>APROBADO (Exitoso)</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