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004D40"/>
          <w:sz w:val="40"/>
        </w:rPr>
        <w:t>INFORME DE ASEGURAMIENTO DE CALIDAD:</w:t>
        <w:br/>
        <w:t>ESTRUCTURA DE PROYECTO, PAQUETES Y ACTIVOS GRÁFICOS</w:t>
      </w:r>
    </w:p>
    <w:p>
      <w:pPr>
        <w:spacing w:after="3200"/>
        <w:jc w:val="center"/>
      </w:pPr>
      <w:r>
        <w:rPr>
          <w:i/>
          <w:color w:val="00796B"/>
          <w:sz w:val="26"/>
        </w:rPr>
        <w:t>Verificación de Clean Architecture, Acoplamiento de Clases y Gestión Automática de Recursos en UnoGUI</w:t>
      </w:r>
    </w:p>
    <w:p>
      <w:r>
        <w:rPr>
          <w:sz w:val="21"/>
        </w:rPr>
        <w:t>Estrategia de QA: Pruebas Estructurales y de Organización de Código</w:t>
        <w:br/>
        <w:t>Paquetes Auditados: UnoGUI, unov5, src/img (Assets de Cartas)</w:t>
        <w:br/>
        <w:t>Criterios de Cobertura: Modularidad, Desacoplamiento de Vista-Controlador, Carga Relativa de Recursos e Imágenes</w:t>
      </w:r>
    </w:p>
    <w:p>
      <w:r>
        <w:br w:type="page"/>
      </w:r>
    </w:p>
    <w:p>
      <w:pPr>
        <w:keepNext/>
        <w:spacing w:before="280" w:after="120"/>
      </w:pPr>
      <w:r>
        <w:rPr>
          <w:rFonts w:ascii="Arial" w:hAnsi="Arial"/>
          <w:b/>
          <w:color w:val="004D40"/>
          <w:sz w:val="36"/>
        </w:rPr>
        <w:t>1. ALCANCE DEL ANÁLISIS ESTRUCTURAL Y DE RECURSOS</w:t>
      </w:r>
    </w:p>
    <w:p>
      <w:pPr>
        <w:spacing w:before="0" w:after="120"/>
      </w:pPr>
      <w:r>
        <w:rPr>
          <w:color w:val="00796B"/>
          <w:sz w:val="18"/>
        </w:rPr>
        <w:t>――――――――――――――――――――――――――――――――――――――――――――――――――――――――――――</w:t>
      </w:r>
    </w:p>
    <w:p>
      <w:r>
        <w:t>El aseguramiento de la calidad de un software no solo depende de la correcta ejecución de su lógica interactiva, sino también de la robustez de su arquitectura y la organización jerárquica de sus componentes. Una mala estructuración de paquetes genera acoplamientos rígidos que incrementan la deuda técnica, mientras que una gestión incorrecta de rutas para archivos multimedia (imágenes, audios) provoca fallos catastróficos en tiempo de ejecución (NullPointerExceptions) al compilar un JAR independiente.</w:t>
      </w:r>
    </w:p>
    <w:p>
      <w:r>
        <w:t>Basado en las nuevas evidencias del entorno de desarrollo (IDE Eclipse) adjuntadas por el equipo (`ESTRUCTURA_FINAL_PAQUETES`, `ORGANIZACION_IMAGENES` y `IMAGENES_CARGADAS_CORRECTAMENTE`), este módulo técnico complementa el portafolio documentando la arquitectura de organización del código, la validación del desacoplamiento entre el núcleo del juego y la interfaz visual, y el mapeo absoluto de los assets gráficos de las cartas de UNO.</w:t>
      </w:r>
    </w:p>
    <w:p>
      <w:pPr>
        <w:keepNext/>
        <w:spacing w:before="280" w:after="120"/>
      </w:pPr>
      <w:r>
        <w:rPr>
          <w:rFonts w:ascii="Arial" w:hAnsi="Arial"/>
          <w:b/>
          <w:color w:val="004D40"/>
          <w:sz w:val="36"/>
        </w:rPr>
        <w:t>2. EVALUACIÓN DE ARQUITECTURA DE PAQUETES (DESACOPLAMIENTO)</w:t>
      </w:r>
    </w:p>
    <w:p>
      <w:pPr>
        <w:spacing w:before="0" w:after="120"/>
      </w:pPr>
      <w:r>
        <w:rPr>
          <w:color w:val="00796B"/>
          <w:sz w:val="18"/>
        </w:rPr>
        <w:t>――――――――――――――――――――――――――――――――――――――――――――――――――――――――――――</w:t>
      </w:r>
    </w:p>
    <w:p>
      <w:r>
        <w:t>Se auditó la segmentación de responsabilidades lógicas del sistema, confirmando la existencia de un diseño limpio orientado a objetos que aísla de manera segura el Backend (Reglas de negocio) del Frontend (UI basada en Swing):</w:t>
      </w:r>
    </w:p>
    <w:p>
      <w:pPr>
        <w:keepNext/>
        <w:spacing w:before="280" w:after="120"/>
      </w:pPr>
      <w:r>
        <w:rPr>
          <w:rFonts w:ascii="Arial" w:hAnsi="Arial"/>
          <w:b/>
          <w:i/>
          <w:color w:val="212121"/>
          <w:sz w:val="23"/>
        </w:rPr>
        <w:t>Módulo de Control Estructural: EST-01 - Separación de Responsabilidades (Back-Front)</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Dimensión Estructural</w:t>
            </w:r>
          </w:p>
        </w:tc>
        <w:tc>
          <w:tcPr>
            <w:tcW w:type="dxa" w:w="6192"/>
            <w:shd w:fill="004D40"/>
            <w:tcMar>
              <w:top w:w="100" w:type="dxa"/>
              <w:bottom w:w="100" w:type="dxa"/>
              <w:left w:w="150" w:type="dxa"/>
              <w:right w:w="150" w:type="dxa"/>
            </w:tcMar>
          </w:tcPr>
          <w:p>
            <w:r>
              <w:rPr>
                <w:b/>
                <w:color w:val="FFFFFF"/>
                <w:sz w:val="20"/>
              </w:rPr>
              <w:t>Especificación de Arquitectura de Software</w:t>
            </w:r>
          </w:p>
        </w:tc>
      </w:tr>
      <w:tr>
        <w:tc>
          <w:tcPr>
            <w:tcW w:type="dxa" w:w="3168"/>
            <w:shd w:fill="F5F5F5"/>
            <w:tcMar>
              <w:top w:w="80" w:type="dxa"/>
              <w:bottom w:w="80" w:type="dxa"/>
              <w:left w:w="150" w:type="dxa"/>
              <w:right w:w="150" w:type="dxa"/>
            </w:tcMar>
          </w:tcPr>
          <w:p>
            <w:r>
              <w:rPr>
                <w:b/>
                <w:sz w:val="19"/>
              </w:rPr>
              <w:t>Objetivo del Análisis de Paquetes</w:t>
            </w:r>
          </w:p>
        </w:tc>
        <w:tc>
          <w:tcPr>
            <w:tcW w:type="dxa" w:w="6192"/>
            <w:tcMar>
              <w:top w:w="80" w:type="dxa"/>
              <w:bottom w:w="80" w:type="dxa"/>
              <w:left w:w="150" w:type="dxa"/>
              <w:right w:w="150" w:type="dxa"/>
            </w:tcMar>
          </w:tcPr>
          <w:p>
            <w:r>
              <w:rPr>
                <w:sz w:val="20"/>
              </w:rPr>
              <w:t>Garantizar que el motor lógico del juego funcione de manera independiente de la capa de visualización gráfica, facilitando pruebas unitarias aisladas.</w:t>
            </w:r>
          </w:p>
        </w:tc>
      </w:tr>
      <w:tr>
        <w:tc>
          <w:tcPr>
            <w:tcW w:type="dxa" w:w="3168"/>
            <w:shd w:fill="F5F5F5"/>
            <w:tcMar>
              <w:top w:w="80" w:type="dxa"/>
              <w:bottom w:w="80" w:type="dxa"/>
              <w:left w:w="150" w:type="dxa"/>
              <w:right w:w="150" w:type="dxa"/>
            </w:tcMar>
          </w:tcPr>
          <w:p>
            <w:r>
              <w:rPr>
                <w:b/>
                <w:sz w:val="19"/>
              </w:rPr>
              <w:t>Origen de Estructura / Ruta src</w:t>
            </w:r>
          </w:p>
        </w:tc>
        <w:tc>
          <w:tcPr>
            <w:tcW w:type="dxa" w:w="6192"/>
            <w:tcMar>
              <w:top w:w="80" w:type="dxa"/>
              <w:bottom w:w="80" w:type="dxa"/>
              <w:left w:w="150" w:type="dxa"/>
              <w:right w:w="150" w:type="dxa"/>
            </w:tcMar>
          </w:tcPr>
          <w:p>
            <w:r>
              <w:rPr>
                <w:sz w:val="20"/>
              </w:rPr>
              <w:t>Separación explícita entre los paquetes 'unov5' (Estructuras de datos y lógica pura) y 'UnoGUI' (Componentes visuales Swing).</w:t>
            </w:r>
          </w:p>
        </w:tc>
      </w:tr>
      <w:tr>
        <w:tc>
          <w:tcPr>
            <w:tcW w:type="dxa" w:w="3168"/>
            <w:shd w:fill="F5F5F5"/>
            <w:tcMar>
              <w:top w:w="80" w:type="dxa"/>
              <w:bottom w:w="80" w:type="dxa"/>
              <w:left w:w="150" w:type="dxa"/>
              <w:right w:w="150" w:type="dxa"/>
            </w:tcMar>
          </w:tcPr>
          <w:p>
            <w:r>
              <w:rPr>
                <w:b/>
                <w:sz w:val="19"/>
              </w:rPr>
              <w:t>Comportamiento y Acoplamiento</w:t>
            </w:r>
          </w:p>
        </w:tc>
        <w:tc>
          <w:tcPr>
            <w:tcW w:type="dxa" w:w="6192"/>
            <w:tcMar>
              <w:top w:w="80" w:type="dxa"/>
              <w:bottom w:w="80" w:type="dxa"/>
              <w:left w:w="150" w:type="dxa"/>
              <w:right w:w="150" w:type="dxa"/>
            </w:tcMar>
          </w:tcPr>
          <w:p>
            <w:r>
              <w:rPr>
                <w:sz w:val="20"/>
              </w:rPr>
              <w:t>La clase 'Main.java' actúa como punto de entrada instanciando 'VentanaInicio'. Las clases del paquete 'UnoGUI' consumen los métodos del paquete 'unov5' de manera controlada por agregación. No existe código de persistencia o de renderizado incrustado en el motor de reglas.</w:t>
            </w:r>
          </w:p>
        </w:tc>
      </w:tr>
      <w:tr>
        <w:tc>
          <w:tcPr>
            <w:tcW w:type="dxa" w:w="3168"/>
            <w:shd w:fill="F5F5F5"/>
            <w:tcMar>
              <w:top w:w="80" w:type="dxa"/>
              <w:bottom w:w="80" w:type="dxa"/>
              <w:left w:w="150" w:type="dxa"/>
              <w:right w:w="150" w:type="dxa"/>
            </w:tcMar>
          </w:tcPr>
          <w:p>
            <w:r>
              <w:rPr>
                <w:b/>
                <w:sz w:val="19"/>
              </w:rPr>
              <w:t>Dictamen / Estado de QA</w:t>
            </w:r>
          </w:p>
        </w:tc>
        <w:tc>
          <w:tcPr>
            <w:tcW w:type="dxa" w:w="6192"/>
            <w:tcMar>
              <w:top w:w="80" w:type="dxa"/>
              <w:bottom w:w="80" w:type="dxa"/>
              <w:left w:w="150" w:type="dxa"/>
              <w:right w:w="150" w:type="dxa"/>
            </w:tcMar>
          </w:tcPr>
          <w:p>
            <w:r>
              <w:rPr>
                <w:b/>
                <w:color w:val="2E7D32"/>
                <w:sz w:val="20"/>
              </w:rPr>
              <w:t>DISEÑO SÓLIDO (Cumple Estándares de Arquitectura)</w:t>
            </w:r>
          </w:p>
        </w:tc>
      </w:tr>
    </w:tbl>
    <w:p>
      <w:pPr>
        <w:spacing w:after="80"/>
      </w:pPr>
    </w:p>
    <w:p>
      <w:pPr>
        <w:keepNext/>
        <w:spacing w:before="280" w:after="120"/>
      </w:pPr>
      <w:r>
        <w:rPr>
          <w:rFonts w:ascii="Arial" w:hAnsi="Arial"/>
          <w:b/>
          <w:i/>
          <w:color w:val="212121"/>
          <w:sz w:val="23"/>
        </w:rPr>
        <w:t>Módulo de Control Estructural: EST-02 - Punto de Entrada del Sistema (Main Entrypoint)</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Dimensión Estructural</w:t>
            </w:r>
          </w:p>
        </w:tc>
        <w:tc>
          <w:tcPr>
            <w:tcW w:type="dxa" w:w="6192"/>
            <w:shd w:fill="004D40"/>
            <w:tcMar>
              <w:top w:w="100" w:type="dxa"/>
              <w:bottom w:w="100" w:type="dxa"/>
              <w:left w:w="150" w:type="dxa"/>
              <w:right w:w="150" w:type="dxa"/>
            </w:tcMar>
          </w:tcPr>
          <w:p>
            <w:r>
              <w:rPr>
                <w:b/>
                <w:color w:val="FFFFFF"/>
                <w:sz w:val="20"/>
              </w:rPr>
              <w:t>Especificación de Arquitectura de Software</w:t>
            </w:r>
          </w:p>
        </w:tc>
      </w:tr>
      <w:tr>
        <w:tc>
          <w:tcPr>
            <w:tcW w:type="dxa" w:w="3168"/>
            <w:shd w:fill="F5F5F5"/>
            <w:tcMar>
              <w:top w:w="80" w:type="dxa"/>
              <w:bottom w:w="80" w:type="dxa"/>
              <w:left w:w="150" w:type="dxa"/>
              <w:right w:w="150" w:type="dxa"/>
            </w:tcMar>
          </w:tcPr>
          <w:p>
            <w:r>
              <w:rPr>
                <w:b/>
                <w:sz w:val="19"/>
              </w:rPr>
              <w:t>Objetivo del Análisis de Paquetes</w:t>
            </w:r>
          </w:p>
        </w:tc>
        <w:tc>
          <w:tcPr>
            <w:tcW w:type="dxa" w:w="6192"/>
            <w:tcMar>
              <w:top w:w="80" w:type="dxa"/>
              <w:bottom w:w="80" w:type="dxa"/>
              <w:left w:w="150" w:type="dxa"/>
              <w:right w:w="150" w:type="dxa"/>
            </w:tcMar>
          </w:tcPr>
          <w:p>
            <w:r>
              <w:rPr>
                <w:sz w:val="20"/>
              </w:rPr>
              <w:t>Validar que la inicialización del hilo de ejecución de la interfaz gráfica arranque de forma limpia desde una única raíz sin dependencias cíclicas.</w:t>
            </w:r>
          </w:p>
        </w:tc>
      </w:tr>
      <w:tr>
        <w:tc>
          <w:tcPr>
            <w:tcW w:type="dxa" w:w="3168"/>
            <w:shd w:fill="F5F5F5"/>
            <w:tcMar>
              <w:top w:w="80" w:type="dxa"/>
              <w:bottom w:w="80" w:type="dxa"/>
              <w:left w:w="150" w:type="dxa"/>
              <w:right w:w="150" w:type="dxa"/>
            </w:tcMar>
          </w:tcPr>
          <w:p>
            <w:r>
              <w:rPr>
                <w:b/>
                <w:sz w:val="19"/>
              </w:rPr>
              <w:t>Origen de Estructura / Ruta src</w:t>
            </w:r>
          </w:p>
        </w:tc>
        <w:tc>
          <w:tcPr>
            <w:tcW w:type="dxa" w:w="6192"/>
            <w:tcMar>
              <w:top w:w="80" w:type="dxa"/>
              <w:bottom w:w="80" w:type="dxa"/>
              <w:left w:w="150" w:type="dxa"/>
              <w:right w:w="150" w:type="dxa"/>
            </w:tcMar>
          </w:tcPr>
          <w:p>
            <w:r>
              <w:rPr>
                <w:sz w:val="20"/>
              </w:rPr>
              <w:t>Clase 'Main.java' dentro de la raíz del paquete controlador 'UnoGUI'.</w:t>
            </w:r>
          </w:p>
        </w:tc>
      </w:tr>
      <w:tr>
        <w:tc>
          <w:tcPr>
            <w:tcW w:type="dxa" w:w="3168"/>
            <w:shd w:fill="F5F5F5"/>
            <w:tcMar>
              <w:top w:w="80" w:type="dxa"/>
              <w:bottom w:w="80" w:type="dxa"/>
              <w:left w:w="150" w:type="dxa"/>
              <w:right w:w="150" w:type="dxa"/>
            </w:tcMar>
          </w:tcPr>
          <w:p>
            <w:r>
              <w:rPr>
                <w:b/>
                <w:sz w:val="19"/>
              </w:rPr>
              <w:t>Comportamiento y Acoplamiento</w:t>
            </w:r>
          </w:p>
        </w:tc>
        <w:tc>
          <w:tcPr>
            <w:tcW w:type="dxa" w:w="6192"/>
            <w:tcMar>
              <w:top w:w="80" w:type="dxa"/>
              <w:bottom w:w="80" w:type="dxa"/>
              <w:left w:w="150" w:type="dxa"/>
              <w:right w:w="150" w:type="dxa"/>
            </w:tcMar>
          </w:tcPr>
          <w:p>
            <w:r>
              <w:rPr>
                <w:sz w:val="20"/>
              </w:rPr>
              <w:t>Contiene exclusivamente el método raíz estático público 'main(String[] args)' que gatilla el constructor de 'VentanaInicio()', desplegando la pantalla de login del juego de forma aislada y limpia.</w:t>
            </w:r>
          </w:p>
        </w:tc>
      </w:tr>
      <w:tr>
        <w:tc>
          <w:tcPr>
            <w:tcW w:type="dxa" w:w="3168"/>
            <w:shd w:fill="F5F5F5"/>
            <w:tcMar>
              <w:top w:w="80" w:type="dxa"/>
              <w:bottom w:w="80" w:type="dxa"/>
              <w:left w:w="150" w:type="dxa"/>
              <w:right w:w="150" w:type="dxa"/>
            </w:tcMar>
          </w:tcPr>
          <w:p>
            <w:r>
              <w:rPr>
                <w:b/>
                <w:sz w:val="19"/>
              </w:rPr>
              <w:t>Dictamen / Estado de QA</w:t>
            </w:r>
          </w:p>
        </w:tc>
        <w:tc>
          <w:tcPr>
            <w:tcW w:type="dxa" w:w="6192"/>
            <w:tcMar>
              <w:top w:w="80" w:type="dxa"/>
              <w:bottom w:w="80" w:type="dxa"/>
              <w:left w:w="150" w:type="dxa"/>
              <w:right w:w="150" w:type="dxa"/>
            </w:tcMar>
          </w:tcPr>
          <w:p>
            <w:r>
              <w:rPr>
                <w:b/>
                <w:color w:val="2E7D32"/>
                <w:sz w:val="20"/>
              </w:rPr>
              <w:t>CORRECTO (Punto de Entrada Centralizado)</w:t>
            </w:r>
          </w:p>
        </w:tc>
      </w:tr>
    </w:tbl>
    <w:p>
      <w:pPr>
        <w:spacing w:after="80"/>
      </w:pPr>
    </w:p>
    <w:p>
      <w:pPr>
        <w:keepNext/>
        <w:spacing w:before="280" w:after="120"/>
      </w:pPr>
      <w:r>
        <w:rPr>
          <w:rFonts w:ascii="Arial" w:hAnsi="Arial"/>
          <w:b/>
          <w:color w:val="004D40"/>
          <w:sz w:val="36"/>
        </w:rPr>
        <w:t>3. AUDITORÍA DE LOGÍSTICA DE RECURSOS (ASSETS GRÁFICOS)</w:t>
      </w:r>
    </w:p>
    <w:p>
      <w:pPr>
        <w:spacing w:before="0" w:after="120"/>
      </w:pPr>
      <w:r>
        <w:rPr>
          <w:color w:val="00796B"/>
          <w:sz w:val="18"/>
        </w:rPr>
        <w:t>――――――――――――――――――――――――――――――――――――――――――――――――――――――――――――</w:t>
      </w:r>
    </w:p>
    <w:p>
      <w:r>
        <w:t>Uno de los puntos clave para el correcto despliegue visual del tablero es el mapeo e indexación de los archivos de imágenes que representan cada carta (colores, números, comodines y dorso de protección). A continuación, se detalla la verificación estructural de los recursos:</w:t>
      </w:r>
    </w:p>
    <w:p>
      <w:pPr>
        <w:keepNext/>
        <w:spacing w:before="280" w:after="120"/>
      </w:pPr>
      <w:r>
        <w:rPr>
          <w:rFonts w:ascii="Arial" w:hAnsi="Arial"/>
          <w:b/>
          <w:i/>
          <w:color w:val="212121"/>
          <w:sz w:val="23"/>
        </w:rPr>
        <w:t>Módulo de Control Estructural: RES-01 - Organización y Rutas Relativas de Assets</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Dimensión Estructural</w:t>
            </w:r>
          </w:p>
        </w:tc>
        <w:tc>
          <w:tcPr>
            <w:tcW w:type="dxa" w:w="6192"/>
            <w:shd w:fill="004D40"/>
            <w:tcMar>
              <w:top w:w="100" w:type="dxa"/>
              <w:bottom w:w="100" w:type="dxa"/>
              <w:left w:w="150" w:type="dxa"/>
              <w:right w:w="150" w:type="dxa"/>
            </w:tcMar>
          </w:tcPr>
          <w:p>
            <w:r>
              <w:rPr>
                <w:b/>
                <w:color w:val="FFFFFF"/>
                <w:sz w:val="20"/>
              </w:rPr>
              <w:t>Especificación de Arquitectura de Software</w:t>
            </w:r>
          </w:p>
        </w:tc>
      </w:tr>
      <w:tr>
        <w:tc>
          <w:tcPr>
            <w:tcW w:type="dxa" w:w="3168"/>
            <w:shd w:fill="F5F5F5"/>
            <w:tcMar>
              <w:top w:w="80" w:type="dxa"/>
              <w:bottom w:w="80" w:type="dxa"/>
              <w:left w:w="150" w:type="dxa"/>
              <w:right w:w="150" w:type="dxa"/>
            </w:tcMar>
          </w:tcPr>
          <w:p>
            <w:r>
              <w:rPr>
                <w:b/>
                <w:sz w:val="19"/>
              </w:rPr>
              <w:t>Objetivo del Análisis de Paquetes</w:t>
            </w:r>
          </w:p>
        </w:tc>
        <w:tc>
          <w:tcPr>
            <w:tcW w:type="dxa" w:w="6192"/>
            <w:tcMar>
              <w:top w:w="80" w:type="dxa"/>
              <w:bottom w:w="80" w:type="dxa"/>
              <w:left w:w="150" w:type="dxa"/>
              <w:right w:w="150" w:type="dxa"/>
            </w:tcMar>
          </w:tcPr>
          <w:p>
            <w:r>
              <w:rPr>
                <w:sz w:val="20"/>
              </w:rPr>
              <w:t>Confirmar que las imágenes del mazo de cartas se ubiquen en el directorio de recursos embebidos del proyecto para posibilitar su lectura mediante rutas relativas (`getResource`).</w:t>
            </w:r>
          </w:p>
        </w:tc>
      </w:tr>
      <w:tr>
        <w:tc>
          <w:tcPr>
            <w:tcW w:type="dxa" w:w="3168"/>
            <w:shd w:fill="F5F5F5"/>
            <w:tcMar>
              <w:top w:w="80" w:type="dxa"/>
              <w:bottom w:w="80" w:type="dxa"/>
              <w:left w:w="150" w:type="dxa"/>
              <w:right w:w="150" w:type="dxa"/>
            </w:tcMar>
          </w:tcPr>
          <w:p>
            <w:r>
              <w:rPr>
                <w:b/>
                <w:sz w:val="19"/>
              </w:rPr>
              <w:t>Origen de Estructura / Ruta src</w:t>
            </w:r>
          </w:p>
        </w:tc>
        <w:tc>
          <w:tcPr>
            <w:tcW w:type="dxa" w:w="6192"/>
            <w:tcMar>
              <w:top w:w="80" w:type="dxa"/>
              <w:bottom w:w="80" w:type="dxa"/>
              <w:left w:w="150" w:type="dxa"/>
              <w:right w:w="150" w:type="dxa"/>
            </w:tcMar>
          </w:tcPr>
          <w:p>
            <w:r>
              <w:rPr>
                <w:sz w:val="20"/>
              </w:rPr>
              <w:t>Directorio de recursos físicos de Eclipse: `src/img/`.</w:t>
            </w:r>
          </w:p>
        </w:tc>
      </w:tr>
      <w:tr>
        <w:tc>
          <w:tcPr>
            <w:tcW w:type="dxa" w:w="3168"/>
            <w:shd w:fill="F5F5F5"/>
            <w:tcMar>
              <w:top w:w="80" w:type="dxa"/>
              <w:bottom w:w="80" w:type="dxa"/>
              <w:left w:w="150" w:type="dxa"/>
              <w:right w:w="150" w:type="dxa"/>
            </w:tcMar>
          </w:tcPr>
          <w:p>
            <w:r>
              <w:rPr>
                <w:b/>
                <w:sz w:val="19"/>
              </w:rPr>
              <w:t>Comportamiento y Acoplamiento</w:t>
            </w:r>
          </w:p>
        </w:tc>
        <w:tc>
          <w:tcPr>
            <w:tcW w:type="dxa" w:w="6192"/>
            <w:tcMar>
              <w:top w:w="80" w:type="dxa"/>
              <w:bottom w:w="80" w:type="dxa"/>
              <w:left w:w="150" w:type="dxa"/>
              <w:right w:w="150" w:type="dxa"/>
            </w:tcMar>
          </w:tcPr>
          <w:p>
            <w:r>
              <w:rPr>
                <w:sz w:val="20"/>
              </w:rPr>
              <w:t>Las capturas de pantalla demuestran el almacenamiento ordenado de todos los archivos PNG nominales de las cartas (ej. 'azul_1.png', 'rojo_reversa.png', 'negro_comodin.png', 'atras.png'). Al formar parte del 'Build Path' de src, el compilador los empaqueta automáticamente dentro del binario.</w:t>
            </w:r>
          </w:p>
        </w:tc>
      </w:tr>
      <w:tr>
        <w:tc>
          <w:tcPr>
            <w:tcW w:type="dxa" w:w="3168"/>
            <w:shd w:fill="F5F5F5"/>
            <w:tcMar>
              <w:top w:w="80" w:type="dxa"/>
              <w:bottom w:w="80" w:type="dxa"/>
              <w:left w:w="150" w:type="dxa"/>
              <w:right w:w="150" w:type="dxa"/>
            </w:tcMar>
          </w:tcPr>
          <w:p>
            <w:r>
              <w:rPr>
                <w:b/>
                <w:sz w:val="19"/>
              </w:rPr>
              <w:t>Dictamen / Estado de QA</w:t>
            </w:r>
          </w:p>
        </w:tc>
        <w:tc>
          <w:tcPr>
            <w:tcW w:type="dxa" w:w="6192"/>
            <w:tcMar>
              <w:top w:w="80" w:type="dxa"/>
              <w:bottom w:w="80" w:type="dxa"/>
              <w:left w:w="150" w:type="dxa"/>
              <w:right w:w="150" w:type="dxa"/>
            </w:tcMar>
          </w:tcPr>
          <w:p>
            <w:r>
              <w:rPr>
                <w:b/>
                <w:color w:val="2E7D32"/>
                <w:sz w:val="20"/>
              </w:rPr>
              <w:t>CORRECTO (Cumple con Estándar de Empaquetado)</w:t>
            </w:r>
          </w:p>
        </w:tc>
      </w:tr>
    </w:tbl>
    <w:p>
      <w:pPr>
        <w:spacing w:after="80"/>
      </w:pPr>
    </w:p>
    <w:p>
      <w:pPr>
        <w:keepNext/>
        <w:spacing w:before="280" w:after="120"/>
      </w:pPr>
      <w:r>
        <w:rPr>
          <w:rFonts w:ascii="Arial" w:hAnsi="Arial"/>
          <w:b/>
          <w:i/>
          <w:color w:val="212121"/>
          <w:sz w:val="23"/>
        </w:rPr>
        <w:t>Módulo de Control Estructural: RES-02 - Resolución Dinámica y Carga en Memoria</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Dimensión Estructural</w:t>
            </w:r>
          </w:p>
        </w:tc>
        <w:tc>
          <w:tcPr>
            <w:tcW w:type="dxa" w:w="6192"/>
            <w:shd w:fill="004D40"/>
            <w:tcMar>
              <w:top w:w="100" w:type="dxa"/>
              <w:bottom w:w="100" w:type="dxa"/>
              <w:left w:w="150" w:type="dxa"/>
              <w:right w:w="150" w:type="dxa"/>
            </w:tcMar>
          </w:tcPr>
          <w:p>
            <w:r>
              <w:rPr>
                <w:b/>
                <w:color w:val="FFFFFF"/>
                <w:sz w:val="20"/>
              </w:rPr>
              <w:t>Especificación de Arquitectura de Software</w:t>
            </w:r>
          </w:p>
        </w:tc>
      </w:tr>
      <w:tr>
        <w:tc>
          <w:tcPr>
            <w:tcW w:type="dxa" w:w="3168"/>
            <w:shd w:fill="F5F5F5"/>
            <w:tcMar>
              <w:top w:w="80" w:type="dxa"/>
              <w:bottom w:w="80" w:type="dxa"/>
              <w:left w:w="150" w:type="dxa"/>
              <w:right w:w="150" w:type="dxa"/>
            </w:tcMar>
          </w:tcPr>
          <w:p>
            <w:r>
              <w:rPr>
                <w:b/>
                <w:sz w:val="19"/>
              </w:rPr>
              <w:t>Objetivo del Análisis de Paquetes</w:t>
            </w:r>
          </w:p>
        </w:tc>
        <w:tc>
          <w:tcPr>
            <w:tcW w:type="dxa" w:w="6192"/>
            <w:tcMar>
              <w:top w:w="80" w:type="dxa"/>
              <w:bottom w:w="80" w:type="dxa"/>
              <w:left w:w="150" w:type="dxa"/>
              <w:right w:w="150" w:type="dxa"/>
            </w:tcMar>
          </w:tcPr>
          <w:p>
            <w:r>
              <w:rPr>
                <w:sz w:val="20"/>
              </w:rPr>
              <w:t>Verificar que el motor de renderizado gráfico cargue en memoria de manera correcta las dimensiones de los iconos sin desbordar los contenedores de los botones del Panel Sur.</w:t>
            </w:r>
          </w:p>
        </w:tc>
      </w:tr>
      <w:tr>
        <w:tc>
          <w:tcPr>
            <w:tcW w:type="dxa" w:w="3168"/>
            <w:shd w:fill="F5F5F5"/>
            <w:tcMar>
              <w:top w:w="80" w:type="dxa"/>
              <w:bottom w:w="80" w:type="dxa"/>
              <w:left w:w="150" w:type="dxa"/>
              <w:right w:w="150" w:type="dxa"/>
            </w:tcMar>
          </w:tcPr>
          <w:p>
            <w:r>
              <w:rPr>
                <w:b/>
                <w:sz w:val="19"/>
              </w:rPr>
              <w:t>Origen de Estructura / Ruta src</w:t>
            </w:r>
          </w:p>
        </w:tc>
        <w:tc>
          <w:tcPr>
            <w:tcW w:type="dxa" w:w="6192"/>
            <w:tcMar>
              <w:top w:w="80" w:type="dxa"/>
              <w:bottom w:w="80" w:type="dxa"/>
              <w:left w:w="150" w:type="dxa"/>
              <w:right w:w="150" w:type="dxa"/>
            </w:tcMar>
          </w:tcPr>
          <w:p>
            <w:r>
              <w:rPr>
                <w:sz w:val="20"/>
              </w:rPr>
              <w:t>Componentes `ImageIcon` cargados a través de `getClass().getResource()` en la inicialización de cartas de `VentanaJuego`.</w:t>
            </w:r>
          </w:p>
        </w:tc>
      </w:tr>
      <w:tr>
        <w:tc>
          <w:tcPr>
            <w:tcW w:type="dxa" w:w="3168"/>
            <w:shd w:fill="F5F5F5"/>
            <w:tcMar>
              <w:top w:w="80" w:type="dxa"/>
              <w:bottom w:w="80" w:type="dxa"/>
              <w:left w:w="150" w:type="dxa"/>
              <w:right w:w="150" w:type="dxa"/>
            </w:tcMar>
          </w:tcPr>
          <w:p>
            <w:r>
              <w:rPr>
                <w:b/>
                <w:sz w:val="19"/>
              </w:rPr>
              <w:t>Comportamiento y Acoplamiento</w:t>
            </w:r>
          </w:p>
        </w:tc>
        <w:tc>
          <w:tcPr>
            <w:tcW w:type="dxa" w:w="6192"/>
            <w:tcMar>
              <w:top w:w="80" w:type="dxa"/>
              <w:bottom w:w="80" w:type="dxa"/>
              <w:left w:w="150" w:type="dxa"/>
              <w:right w:w="150" w:type="dxa"/>
            </w:tcMar>
          </w:tcPr>
          <w:p>
            <w:r>
              <w:rPr>
                <w:sz w:val="20"/>
              </w:rPr>
              <w:t>Los archivos multimedia se leen e indexan dinámicamente según la tuerca de Color y Tipo de la carta analizada. La evidencia física confirma que el renderizado se acopla a las dimensiones asignadas (90x130 píxeles escalados de forma suave), previniendo excepciones de archivo no encontrado.</w:t>
            </w:r>
          </w:p>
        </w:tc>
      </w:tr>
      <w:tr>
        <w:tc>
          <w:tcPr>
            <w:tcW w:type="dxa" w:w="3168"/>
            <w:shd w:fill="F5F5F5"/>
            <w:tcMar>
              <w:top w:w="80" w:type="dxa"/>
              <w:bottom w:w="80" w:type="dxa"/>
              <w:left w:w="150" w:type="dxa"/>
              <w:right w:w="150" w:type="dxa"/>
            </w:tcMar>
          </w:tcPr>
          <w:p>
            <w:r>
              <w:rPr>
                <w:b/>
                <w:sz w:val="19"/>
              </w:rPr>
              <w:t>Dictamen / Estado de QA</w:t>
            </w:r>
          </w:p>
        </w:tc>
        <w:tc>
          <w:tcPr>
            <w:tcW w:type="dxa" w:w="6192"/>
            <w:tcMar>
              <w:top w:w="80" w:type="dxa"/>
              <w:bottom w:w="80" w:type="dxa"/>
              <w:left w:w="150" w:type="dxa"/>
              <w:right w:w="150" w:type="dxa"/>
            </w:tcMar>
          </w:tcPr>
          <w:p>
            <w:r>
              <w:rPr>
                <w:b/>
                <w:color w:val="2E7D32"/>
                <w:sz w:val="20"/>
              </w:rPr>
              <w:t>DISEÑO SÓLIDO (Carga en Memoria Validada Exitosamente)</w:t>
            </w:r>
          </w:p>
        </w:tc>
      </w:tr>
    </w:tbl>
    <w:p>
      <w:pPr>
        <w:spacing w:after="80"/>
      </w:pPr>
    </w:p>
    <w:p>
      <w:pPr>
        <w:keepNext/>
        <w:spacing w:before="280" w:after="120"/>
      </w:pPr>
      <w:r>
        <w:rPr>
          <w:rFonts w:ascii="Arial" w:hAnsi="Arial"/>
          <w:b/>
          <w:color w:val="004D40"/>
          <w:sz w:val="36"/>
        </w:rPr>
        <w:t>4. RECOMENDACIONES DE MANTENIBILIDAD ESTRUCTURAL</w:t>
      </w:r>
    </w:p>
    <w:p>
      <w:pPr>
        <w:spacing w:before="0" w:after="120"/>
      </w:pPr>
      <w:r>
        <w:rPr>
          <w:color w:val="00796B"/>
          <w:sz w:val="18"/>
        </w:rPr>
        <w:t>――――――――――――――――――――――――――――――――――――――――――――――――――――――――――――</w:t>
      </w:r>
    </w:p>
    <w:p>
      <w:r>
        <w:t>La auditoría formal de la estructura de carpetas, código fuente y recursos gráficos determina que el proyecto posee una organización impecable que cumple con las buenas prácticas de la Ingeniería de Software. Como plan de mantenimiento preventivo, se sugiere:</w:t>
      </w:r>
    </w:p>
    <w:p>
      <w:pPr>
        <w:pStyle w:val="ListBullet"/>
      </w:pPr>
      <w:r>
        <w:rPr>
          <w:b/>
        </w:rPr>
        <w:t xml:space="preserve">Mantener la independencia de unov5: </w:t>
      </w:r>
      <w:r>
        <w:t>Bajo ninguna circunstancia se deben importar clases de java.awt o javax.swing dentro del paquete unov5. Esto preservará la portabilidad del motor para futuros despliegues (ej. consola, entornos web o móviles).</w:t>
      </w:r>
    </w:p>
    <w:p>
      <w:pPr>
        <w:pStyle w:val="ListBullet"/>
      </w:pPr>
      <w:r>
        <w:rPr>
          <w:b/>
        </w:rPr>
        <w:t xml:space="preserve">Resiliencia de Carga de Imágenes: </w:t>
      </w:r>
      <w:r>
        <w:t>Garantizar que el método encargado de construir el ImageIcon posea un bloque alternativo por si el recurso de imagen no se encuentra disponible en disco, devolviendo un botón con texto plano legible en su lugar (`setText(card.toString())`) para evitar interrupciones críticas por falta de assets.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