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586A98" w:rsidR="00C40893" w:rsidP="00C40893" w:rsidRDefault="00C40893" w14:paraId="07534DC9" w14:textId="77777777">
      <w:pPr>
        <w:rPr>
          <w:sz w:val="24"/>
          <w:szCs w:val="24"/>
          <w:lang w:val="es-MX"/>
        </w:rPr>
      </w:pPr>
      <w:r w:rsidRPr="00586A98">
        <w:rPr>
          <w:sz w:val="24"/>
          <w:szCs w:val="24"/>
          <w:lang w:val="es-MX"/>
        </w:rPr>
        <w:lastRenderedPageBreak/>
        <w:t>Rodrigo Ivan Rodriguez</w:t>
      </w:r>
    </w:p>
    <w:p w:rsidRPr="00586A98" w:rsidR="00C40893" w:rsidP="00C40893" w:rsidRDefault="00C40893" w14:paraId="21DBBFCF" w14:textId="77777777">
      <w:pPr>
        <w:rPr>
          <w:sz w:val="24"/>
          <w:szCs w:val="24"/>
          <w:lang w:val="es-MX"/>
        </w:rPr>
      </w:pPr>
      <w:r w:rsidRPr="00586A98">
        <w:rPr>
          <w:sz w:val="24"/>
          <w:szCs w:val="24"/>
          <w:lang w:val="es-MX"/>
        </w:rPr>
        <w:t>DSC 540 WINTER</w:t>
      </w:r>
    </w:p>
    <w:p w:rsidRPr="00586A98" w:rsidR="00C40893" w:rsidP="00C40893" w:rsidRDefault="00C40893" w14:paraId="065A2CFD" w14:textId="77777777">
      <w:pPr>
        <w:rPr>
          <w:sz w:val="24"/>
          <w:szCs w:val="24"/>
          <w:lang w:val="es-MX"/>
        </w:rPr>
      </w:pPr>
      <w:r w:rsidRPr="00586A98">
        <w:rPr>
          <w:sz w:val="24"/>
          <w:szCs w:val="24"/>
          <w:lang w:val="es-MX"/>
        </w:rPr>
        <w:t>Final Project</w:t>
      </w:r>
    </w:p>
    <w:p w:rsidRPr="00586A98" w:rsidR="00C40893" w:rsidP="00C40893" w:rsidRDefault="00C40893" w14:paraId="4C7C8FA5" w14:textId="77777777">
      <w:pPr>
        <w:rPr>
          <w:sz w:val="24"/>
          <w:szCs w:val="24"/>
          <w:lang w:val="es-MX"/>
        </w:rPr>
      </w:pPr>
    </w:p>
    <w:p w:rsidRPr="00586A98" w:rsidR="00C40893" w:rsidP="00C40893" w:rsidRDefault="00C40893" w14:paraId="619F8D73" w14:textId="5E74A92A">
      <w:pPr>
        <w:jc w:val="center"/>
        <w:rPr>
          <w:b/>
          <w:bCs/>
          <w:sz w:val="24"/>
          <w:szCs w:val="24"/>
        </w:rPr>
      </w:pPr>
      <w:r w:rsidRPr="00586A98">
        <w:rPr>
          <w:b/>
          <w:bCs/>
          <w:sz w:val="24"/>
          <w:szCs w:val="24"/>
        </w:rPr>
        <w:t xml:space="preserve">Housing Market Analysis – </w:t>
      </w:r>
      <w:r w:rsidRPr="00586A98">
        <w:rPr>
          <w:b/>
          <w:bCs/>
          <w:sz w:val="24"/>
          <w:szCs w:val="24"/>
        </w:rPr>
        <w:t>Summary Output</w:t>
      </w:r>
    </w:p>
    <w:p w:rsidRPr="00586A98" w:rsidR="00C40893" w:rsidP="00C40893" w:rsidRDefault="00C40893" w14:paraId="21288850" w14:textId="77777777">
      <w:pPr>
        <w:rPr>
          <w:b/>
          <w:bCs/>
          <w:sz w:val="24"/>
          <w:szCs w:val="24"/>
        </w:rPr>
      </w:pPr>
    </w:p>
    <w:p w:rsidRPr="00586A98" w:rsidR="00C80274" w:rsidP="00C40893" w:rsidRDefault="00C80274" w14:paraId="6DD68550" w14:textId="19845C47">
      <w:pPr>
        <w:rPr>
          <w:b/>
          <w:bCs/>
          <w:sz w:val="24"/>
          <w:szCs w:val="24"/>
          <w:u w:val="single"/>
        </w:rPr>
      </w:pPr>
      <w:r w:rsidRPr="00586A98">
        <w:rPr>
          <w:b/>
          <w:bCs/>
          <w:sz w:val="24"/>
          <w:szCs w:val="24"/>
          <w:u w:val="single"/>
        </w:rPr>
        <w:t>Introduction</w:t>
      </w:r>
    </w:p>
    <w:p w:rsidRPr="00586A98" w:rsidR="00C40893" w:rsidP="00C40893" w:rsidRDefault="00C40893" w14:paraId="0CCCFCC7" w14:textId="4432D9B3">
      <w:pPr>
        <w:rPr>
          <w:sz w:val="24"/>
          <w:szCs w:val="24"/>
        </w:rPr>
      </w:pPr>
      <w:r w:rsidRPr="00586A98">
        <w:rPr>
          <w:sz w:val="24"/>
          <w:szCs w:val="24"/>
        </w:rPr>
        <w:t>This project involved gaining data on the different housing markets across three different data sources. The sources for this project included:</w:t>
      </w:r>
    </w:p>
    <w:p w:rsidRPr="00586A98" w:rsidR="00C40893" w:rsidP="00C40893" w:rsidRDefault="00C40893" w14:paraId="51E5F970" w14:textId="49A6AC92">
      <w:pPr>
        <w:pStyle w:val="ListParagraph"/>
        <w:numPr>
          <w:ilvl w:val="0"/>
          <w:numId w:val="1"/>
        </w:numPr>
        <w:rPr>
          <w:sz w:val="24"/>
          <w:szCs w:val="24"/>
        </w:rPr>
      </w:pPr>
      <w:r w:rsidRPr="00586A98">
        <w:rPr>
          <w:sz w:val="24"/>
          <w:szCs w:val="24"/>
        </w:rPr>
        <w:t>Zillow Research – Median Sale Price by MSA by Month (2019 – 2023)</w:t>
      </w:r>
    </w:p>
    <w:p w:rsidRPr="00586A98" w:rsidR="00C40893" w:rsidP="00C40893" w:rsidRDefault="00C40893" w14:paraId="6009B12F" w14:textId="6707FDEC">
      <w:pPr>
        <w:pStyle w:val="ListParagraph"/>
        <w:numPr>
          <w:ilvl w:val="0"/>
          <w:numId w:val="1"/>
        </w:numPr>
        <w:rPr>
          <w:sz w:val="24"/>
          <w:szCs w:val="24"/>
        </w:rPr>
      </w:pPr>
      <w:r w:rsidRPr="00586A98">
        <w:rPr>
          <w:sz w:val="24"/>
          <w:szCs w:val="24"/>
        </w:rPr>
        <w:t>Bureau of Economic Analysis – Per Capital Personal Income and Purchasing Power by MSA</w:t>
      </w:r>
    </w:p>
    <w:p w:rsidRPr="00586A98" w:rsidR="00C40893" w:rsidP="00C40893" w:rsidRDefault="00C40893" w14:paraId="33F900E4" w14:textId="6312F5C4">
      <w:pPr>
        <w:pStyle w:val="ListParagraph"/>
        <w:numPr>
          <w:ilvl w:val="0"/>
          <w:numId w:val="1"/>
        </w:numPr>
        <w:rPr>
          <w:sz w:val="24"/>
          <w:szCs w:val="24"/>
        </w:rPr>
      </w:pPr>
      <w:r w:rsidRPr="00586A98">
        <w:rPr>
          <w:sz w:val="24"/>
          <w:szCs w:val="24"/>
        </w:rPr>
        <w:t>House Canary Market Research – Gross Average Rental Income Yield by MSA</w:t>
      </w:r>
    </w:p>
    <w:p w:rsidRPr="00586A98" w:rsidR="00C40893" w:rsidP="00C40893" w:rsidRDefault="00C40893" w14:paraId="5508625A" w14:textId="7726D4DD">
      <w:pPr>
        <w:rPr>
          <w:sz w:val="24"/>
          <w:szCs w:val="24"/>
        </w:rPr>
      </w:pPr>
      <w:r w:rsidRPr="00586A98">
        <w:rPr>
          <w:sz w:val="24"/>
          <w:szCs w:val="24"/>
        </w:rPr>
        <w:t xml:space="preserve">The data was used to conduct statistical analysis on various MSAs to determine which MSAs would be considered favorable for </w:t>
      </w:r>
      <w:r w:rsidRPr="00586A98" w:rsidR="00C80274">
        <w:rPr>
          <w:sz w:val="24"/>
          <w:szCs w:val="24"/>
        </w:rPr>
        <w:t>Rental Home Investors. The analysis should provide recommendations and insights for investors to determine which MSAs would be beneficial for rental home investments.</w:t>
      </w:r>
    </w:p>
    <w:p w:rsidR="00534F70" w:rsidRDefault="00534F70" w14:paraId="6BAC10DA" w14:textId="77777777">
      <w:pPr>
        <w:rPr>
          <w:b/>
          <w:bCs/>
          <w:sz w:val="24"/>
          <w:szCs w:val="24"/>
          <w:u w:val="single"/>
        </w:rPr>
      </w:pPr>
      <w:r>
        <w:rPr>
          <w:b/>
          <w:bCs/>
          <w:sz w:val="24"/>
          <w:szCs w:val="24"/>
          <w:u w:val="single"/>
        </w:rPr>
        <w:br w:type="page"/>
      </w:r>
    </w:p>
    <w:p w:rsidRPr="00586A98" w:rsidR="00C80274" w:rsidP="00C40893" w:rsidRDefault="00C80274" w14:paraId="34D9A3D0" w14:textId="1CF48557">
      <w:pPr>
        <w:rPr>
          <w:b/>
          <w:bCs/>
          <w:sz w:val="24"/>
          <w:szCs w:val="24"/>
          <w:u w:val="single"/>
        </w:rPr>
      </w:pPr>
      <w:r w:rsidRPr="00586A98">
        <w:rPr>
          <w:b/>
          <w:bCs/>
          <w:sz w:val="24"/>
          <w:szCs w:val="24"/>
          <w:u w:val="single"/>
        </w:rPr>
        <w:lastRenderedPageBreak/>
        <w:t>Visualizations</w:t>
      </w:r>
    </w:p>
    <w:p w:rsidR="00C80274" w:rsidP="00C80274" w:rsidRDefault="00C80274" w14:paraId="5C0DBB41" w14:textId="15D58302">
      <w:pPr>
        <w:jc w:val="center"/>
        <w:rPr>
          <w:b/>
          <w:bCs/>
          <w:i/>
          <w:iCs/>
          <w:sz w:val="24"/>
          <w:szCs w:val="24"/>
        </w:rPr>
      </w:pPr>
      <w:r w:rsidRPr="00586A98">
        <w:rPr>
          <w:sz w:val="24"/>
          <w:szCs w:val="24"/>
        </w:rPr>
        <w:drawing>
          <wp:inline distT="0" distB="0" distL="0" distR="0" wp14:anchorId="4CBA98F4" wp14:editId="1F11CDC5">
            <wp:extent cx="5665896" cy="3591426"/>
            <wp:effectExtent l="0" t="0" r="0" b="9525"/>
            <wp:docPr id="130051533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5339" name="Picture 1" descr="A graph with blue dots&#10;&#10;Description automatically generated"/>
                    <pic:cNvPicPr/>
                  </pic:nvPicPr>
                  <pic:blipFill>
                    <a:blip r:embed="rId5"/>
                    <a:stretch>
                      <a:fillRect/>
                    </a:stretch>
                  </pic:blipFill>
                  <pic:spPr>
                    <a:xfrm>
                      <a:off x="0" y="0"/>
                      <a:ext cx="5686723" cy="3604628"/>
                    </a:xfrm>
                    <a:prstGeom prst="rect">
                      <a:avLst/>
                    </a:prstGeom>
                  </pic:spPr>
                </pic:pic>
              </a:graphicData>
            </a:graphic>
          </wp:inline>
        </w:drawing>
      </w:r>
      <w:r w:rsidRPr="00586A98">
        <w:rPr>
          <w:b/>
          <w:bCs/>
          <w:i/>
          <w:iCs/>
          <w:sz w:val="24"/>
          <w:szCs w:val="24"/>
        </w:rPr>
        <w:t>Figure 1</w:t>
      </w:r>
    </w:p>
    <w:p w:rsidR="00534F70" w:rsidP="00C80274" w:rsidRDefault="00534F70" w14:paraId="1F403D9D" w14:textId="77777777">
      <w:pPr>
        <w:jc w:val="center"/>
        <w:rPr>
          <w:b/>
          <w:bCs/>
          <w:i/>
          <w:iCs/>
          <w:sz w:val="24"/>
          <w:szCs w:val="24"/>
        </w:rPr>
      </w:pPr>
    </w:p>
    <w:p w:rsidRPr="00586A98" w:rsidR="00534F70" w:rsidP="00534F70" w:rsidRDefault="00534F70" w14:paraId="48C57283" w14:textId="77777777">
      <w:pPr>
        <w:rPr>
          <w:rFonts w:cs="Helvetica"/>
          <w:color w:val="000000"/>
          <w:shd w:val="clear" w:color="auto" w:fill="FFFFFF"/>
        </w:rPr>
      </w:pPr>
      <w:r w:rsidRPr="00586A98">
        <w:rPr>
          <w:b/>
          <w:bCs/>
          <w:sz w:val="24"/>
          <w:szCs w:val="24"/>
        </w:rPr>
        <w:t>Figure 1</w:t>
      </w:r>
      <w:r w:rsidRPr="00586A98">
        <w:rPr>
          <w:sz w:val="24"/>
          <w:szCs w:val="24"/>
        </w:rPr>
        <w:t xml:space="preserve">. </w:t>
      </w:r>
      <w:r w:rsidRPr="00586A98">
        <w:rPr>
          <w:rFonts w:cs="Helvetica"/>
          <w:color w:val="000000"/>
          <w:shd w:val="clear" w:color="auto" w:fill="FFFFFF"/>
        </w:rPr>
        <w:t xml:space="preserve">Shows a correlation coefficient of -0.44 which suggests there is a moderate negative relationship between the median sale price and the purchasing power of 1.00 dollar. As the median sale price increases, there tends to be a decrease in the purchasing power of 1.00 dollar. However, this correlation is not very strong. </w:t>
      </w:r>
    </w:p>
    <w:p w:rsidRPr="00586A98" w:rsidR="00534F70" w:rsidP="00534F70" w:rsidRDefault="00534F70" w14:paraId="59C6DF0F" w14:textId="77777777">
      <w:pPr>
        <w:rPr>
          <w:rFonts w:cs="Helvetica"/>
          <w:color w:val="000000"/>
          <w:shd w:val="clear" w:color="auto" w:fill="FFFFFF"/>
        </w:rPr>
      </w:pPr>
      <w:r w:rsidRPr="00586A98">
        <w:rPr>
          <w:rFonts w:cs="Helvetica"/>
          <w:color w:val="000000"/>
          <w:shd w:val="clear" w:color="auto" w:fill="FFFFFF"/>
        </w:rPr>
        <w:t>This visualization can be useful for stakeholders looking to understand the economic dynamics of different regions. The negative correlation might imply that areas with higher cost of living (indicated by higher median sale prices) could be associated with a lower purchasing power of the dollar.</w:t>
      </w:r>
    </w:p>
    <w:p w:rsidRPr="00586A98" w:rsidR="00534F70" w:rsidP="00534F70" w:rsidRDefault="00534F70" w14:paraId="5C912F03" w14:textId="77777777">
      <w:pPr>
        <w:rPr>
          <w:b/>
          <w:bCs/>
          <w:i/>
          <w:iCs/>
          <w:sz w:val="24"/>
          <w:szCs w:val="24"/>
        </w:rPr>
      </w:pPr>
    </w:p>
    <w:p w:rsidR="00C80274" w:rsidP="00C80274" w:rsidRDefault="00C80274" w14:paraId="016B0D0B" w14:textId="35B9B628">
      <w:pPr>
        <w:jc w:val="center"/>
        <w:rPr>
          <w:b/>
          <w:bCs/>
          <w:i/>
          <w:iCs/>
          <w:sz w:val="24"/>
          <w:szCs w:val="24"/>
        </w:rPr>
      </w:pPr>
      <w:r w:rsidRPr="00586A98">
        <w:rPr>
          <w:sz w:val="24"/>
          <w:szCs w:val="24"/>
        </w:rPr>
        <w:lastRenderedPageBreak/>
        <w:drawing>
          <wp:inline distT="0" distB="0" distL="0" distR="0" wp14:anchorId="63E674BB" wp14:editId="2652CC14">
            <wp:extent cx="5862673" cy="3922295"/>
            <wp:effectExtent l="0" t="0" r="5080" b="2540"/>
            <wp:docPr id="29714064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40647" name="Picture 1" descr="A graph of different colored lines&#10;&#10;Description automatically generated"/>
                    <pic:cNvPicPr/>
                  </pic:nvPicPr>
                  <pic:blipFill>
                    <a:blip r:embed="rId6"/>
                    <a:stretch>
                      <a:fillRect/>
                    </a:stretch>
                  </pic:blipFill>
                  <pic:spPr>
                    <a:xfrm>
                      <a:off x="0" y="0"/>
                      <a:ext cx="5874380" cy="3930127"/>
                    </a:xfrm>
                    <a:prstGeom prst="rect">
                      <a:avLst/>
                    </a:prstGeom>
                  </pic:spPr>
                </pic:pic>
              </a:graphicData>
            </a:graphic>
          </wp:inline>
        </w:drawing>
      </w:r>
      <w:r w:rsidRPr="00586A98">
        <w:rPr>
          <w:b/>
          <w:bCs/>
          <w:i/>
          <w:iCs/>
          <w:sz w:val="24"/>
          <w:szCs w:val="24"/>
        </w:rPr>
        <w:t>Figure 2</w:t>
      </w:r>
    </w:p>
    <w:p w:rsidRPr="00586A98" w:rsidR="00534F70" w:rsidP="00C80274" w:rsidRDefault="00534F70" w14:paraId="1C4DCBBA" w14:textId="77777777">
      <w:pPr>
        <w:jc w:val="center"/>
        <w:rPr>
          <w:i/>
          <w:iCs/>
          <w:sz w:val="24"/>
          <w:szCs w:val="24"/>
        </w:rPr>
      </w:pPr>
    </w:p>
    <w:p w:rsidRPr="00586A98" w:rsidR="00534F70" w:rsidP="00534F70" w:rsidRDefault="00534F70" w14:paraId="6A1BCB62" w14:textId="77777777">
      <w:pPr>
        <w:rPr>
          <w:sz w:val="24"/>
          <w:szCs w:val="24"/>
        </w:rPr>
      </w:pPr>
      <w:r w:rsidRPr="00586A98">
        <w:rPr>
          <w:b/>
          <w:bCs/>
          <w:sz w:val="24"/>
          <w:szCs w:val="24"/>
        </w:rPr>
        <w:t>Figure 2</w:t>
      </w:r>
      <w:r w:rsidRPr="00586A98">
        <w:rPr>
          <w:sz w:val="24"/>
          <w:szCs w:val="24"/>
        </w:rPr>
        <w:t xml:space="preserve">. </w:t>
      </w:r>
      <w:r w:rsidRPr="00586A98">
        <w:rPr>
          <w:rFonts w:cs="Helvetica"/>
          <w:color w:val="000000"/>
          <w:shd w:val="clear" w:color="auto" w:fill="FFFFFF"/>
        </w:rPr>
        <w:t>Shows the increase in Median Sale Price across all MSAs. In general, most MSAs are seeing increases in median sale price YoY. This appears to be in line with expectations since inflation rises each year.</w:t>
      </w:r>
    </w:p>
    <w:p w:rsidRPr="00586A98" w:rsidR="00C80274" w:rsidP="00534F70" w:rsidRDefault="00C80274" w14:paraId="20386338" w14:textId="77777777">
      <w:pPr>
        <w:rPr>
          <w:i/>
          <w:iCs/>
          <w:sz w:val="24"/>
          <w:szCs w:val="24"/>
        </w:rPr>
      </w:pPr>
    </w:p>
    <w:p w:rsidR="00C80274" w:rsidP="00C80274" w:rsidRDefault="00C80274" w14:paraId="4FBE9CDE" w14:textId="3B0CCB87">
      <w:pPr>
        <w:jc w:val="center"/>
        <w:rPr>
          <w:b/>
          <w:bCs/>
          <w:i/>
          <w:iCs/>
          <w:sz w:val="24"/>
          <w:szCs w:val="24"/>
        </w:rPr>
      </w:pPr>
      <w:r w:rsidRPr="00586A98">
        <w:rPr>
          <w:sz w:val="24"/>
          <w:szCs w:val="24"/>
        </w:rPr>
        <w:lastRenderedPageBreak/>
        <w:drawing>
          <wp:inline distT="0" distB="0" distL="0" distR="0" wp14:anchorId="7EE28260" wp14:editId="381B7D58">
            <wp:extent cx="6072517" cy="3110163"/>
            <wp:effectExtent l="0" t="0" r="4445" b="0"/>
            <wp:docPr id="651154032"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4032" name="Picture 1" descr="A graph with a red line&#10;&#10;Description automatically generated"/>
                    <pic:cNvPicPr/>
                  </pic:nvPicPr>
                  <pic:blipFill>
                    <a:blip r:embed="rId7"/>
                    <a:stretch>
                      <a:fillRect/>
                    </a:stretch>
                  </pic:blipFill>
                  <pic:spPr>
                    <a:xfrm>
                      <a:off x="0" y="0"/>
                      <a:ext cx="6082867" cy="3115464"/>
                    </a:xfrm>
                    <a:prstGeom prst="rect">
                      <a:avLst/>
                    </a:prstGeom>
                  </pic:spPr>
                </pic:pic>
              </a:graphicData>
            </a:graphic>
          </wp:inline>
        </w:drawing>
      </w:r>
      <w:r w:rsidRPr="00586A98">
        <w:rPr>
          <w:b/>
          <w:bCs/>
          <w:i/>
          <w:iCs/>
          <w:sz w:val="24"/>
          <w:szCs w:val="24"/>
        </w:rPr>
        <w:t>Figure 3</w:t>
      </w:r>
    </w:p>
    <w:p w:rsidRPr="00586A98" w:rsidR="00534F70" w:rsidP="00C80274" w:rsidRDefault="00534F70" w14:paraId="2A1CA6A5" w14:textId="77777777">
      <w:pPr>
        <w:jc w:val="center"/>
        <w:rPr>
          <w:i/>
          <w:iCs/>
          <w:sz w:val="24"/>
          <w:szCs w:val="24"/>
        </w:rPr>
      </w:pPr>
    </w:p>
    <w:p w:rsidRPr="00586A98" w:rsidR="00534F70" w:rsidP="00534F70" w:rsidRDefault="00534F70" w14:paraId="583DD512" w14:textId="77777777">
      <w:pPr>
        <w:rPr>
          <w:rFonts w:cs="Helvetica"/>
          <w:color w:val="000000"/>
          <w:shd w:val="clear" w:color="auto" w:fill="FFFFFF"/>
        </w:rPr>
      </w:pPr>
      <w:r w:rsidRPr="00586A98">
        <w:rPr>
          <w:b/>
          <w:bCs/>
          <w:sz w:val="24"/>
          <w:szCs w:val="24"/>
        </w:rPr>
        <w:t>Figure 3</w:t>
      </w:r>
      <w:r w:rsidRPr="00586A98">
        <w:rPr>
          <w:sz w:val="24"/>
          <w:szCs w:val="24"/>
        </w:rPr>
        <w:t xml:space="preserve">. Shows </w:t>
      </w:r>
      <w:r w:rsidRPr="00586A98">
        <w:rPr>
          <w:rFonts w:cs="Helvetica"/>
          <w:color w:val="000000"/>
          <w:shd w:val="clear" w:color="auto" w:fill="FFFFFF"/>
        </w:rPr>
        <w:t>how purchasing power and rental income yield differs between MSAs. Based on the observed MSAs, an increased purchasing power tends to lead to higher rental income yields.</w:t>
      </w:r>
    </w:p>
    <w:p w:rsidR="00534F70" w:rsidP="00534F70" w:rsidRDefault="00534F70" w14:paraId="5723EF07" w14:textId="77777777">
      <w:pPr>
        <w:rPr>
          <w:rFonts w:cs="Helvetica"/>
          <w:color w:val="000000"/>
          <w:shd w:val="clear" w:color="auto" w:fill="FFFFFF"/>
        </w:rPr>
      </w:pPr>
      <w:r w:rsidRPr="00586A98">
        <w:rPr>
          <w:rFonts w:cs="Helvetica"/>
          <w:color w:val="000000"/>
          <w:shd w:val="clear" w:color="auto" w:fill="FFFFFF"/>
        </w:rPr>
        <w:t>Using contextual assumptions, one can infer that MSAs with higher cost of living will have higher priced homes, which will in turn make it more difficult for an investor to make a decent return on their investment. A rental investor in an MSA with lower purchasing power will have to charge more for rent to recoup their investment, all while in an economic market that makes it difficult for individuals to pay higher rents.</w:t>
      </w:r>
    </w:p>
    <w:p w:rsidRPr="00586A98" w:rsidR="00C80274" w:rsidP="00534F70" w:rsidRDefault="00C80274" w14:paraId="5E995494" w14:textId="77777777">
      <w:pPr>
        <w:rPr>
          <w:i/>
          <w:iCs/>
          <w:sz w:val="24"/>
          <w:szCs w:val="24"/>
        </w:rPr>
      </w:pPr>
    </w:p>
    <w:p w:rsidR="00C80274" w:rsidP="00C80274" w:rsidRDefault="00C80274" w14:paraId="5262278B" w14:textId="7A3D303A">
      <w:pPr>
        <w:jc w:val="center"/>
        <w:rPr>
          <w:b/>
          <w:bCs/>
          <w:i/>
          <w:iCs/>
          <w:sz w:val="24"/>
          <w:szCs w:val="24"/>
        </w:rPr>
      </w:pPr>
      <w:r w:rsidRPr="00586A98">
        <w:rPr>
          <w:sz w:val="24"/>
          <w:szCs w:val="24"/>
        </w:rPr>
        <w:lastRenderedPageBreak/>
        <w:drawing>
          <wp:inline distT="0" distB="0" distL="0" distR="0" wp14:anchorId="645ED1F6" wp14:editId="087F09A7">
            <wp:extent cx="6208989" cy="3098132"/>
            <wp:effectExtent l="0" t="0" r="1905" b="7620"/>
            <wp:docPr id="1528540680"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40680" name="Picture 1" descr="A graph with text on it&#10;&#10;Description automatically generated"/>
                    <pic:cNvPicPr/>
                  </pic:nvPicPr>
                  <pic:blipFill>
                    <a:blip r:embed="rId8"/>
                    <a:stretch>
                      <a:fillRect/>
                    </a:stretch>
                  </pic:blipFill>
                  <pic:spPr>
                    <a:xfrm>
                      <a:off x="0" y="0"/>
                      <a:ext cx="6261062" cy="3124115"/>
                    </a:xfrm>
                    <a:prstGeom prst="rect">
                      <a:avLst/>
                    </a:prstGeom>
                  </pic:spPr>
                </pic:pic>
              </a:graphicData>
            </a:graphic>
          </wp:inline>
        </w:drawing>
      </w:r>
      <w:r w:rsidRPr="00586A98">
        <w:rPr>
          <w:b/>
          <w:bCs/>
          <w:i/>
          <w:iCs/>
          <w:sz w:val="24"/>
          <w:szCs w:val="24"/>
        </w:rPr>
        <w:t>Figure 4</w:t>
      </w:r>
    </w:p>
    <w:p w:rsidRPr="00586A98" w:rsidR="00534F70" w:rsidP="00C80274" w:rsidRDefault="00534F70" w14:paraId="15E5A700" w14:textId="77777777">
      <w:pPr>
        <w:jc w:val="center"/>
        <w:rPr>
          <w:b/>
          <w:bCs/>
          <w:i/>
          <w:iCs/>
          <w:sz w:val="24"/>
          <w:szCs w:val="24"/>
        </w:rPr>
      </w:pPr>
    </w:p>
    <w:p w:rsidR="00534F70" w:rsidP="00534F70" w:rsidRDefault="00534F70" w14:paraId="7969677F" w14:textId="77777777">
      <w:pPr>
        <w:rPr>
          <w:sz w:val="24"/>
          <w:szCs w:val="24"/>
        </w:rPr>
      </w:pPr>
      <w:r w:rsidRPr="00586A98">
        <w:rPr>
          <w:b/>
          <w:bCs/>
          <w:sz w:val="24"/>
          <w:szCs w:val="24"/>
        </w:rPr>
        <w:t xml:space="preserve">Figure </w:t>
      </w:r>
      <w:r>
        <w:rPr>
          <w:b/>
          <w:bCs/>
          <w:sz w:val="24"/>
          <w:szCs w:val="24"/>
        </w:rPr>
        <w:t>4</w:t>
      </w:r>
      <w:r w:rsidRPr="00586A98">
        <w:rPr>
          <w:sz w:val="24"/>
          <w:szCs w:val="24"/>
        </w:rPr>
        <w:t>.</w:t>
      </w:r>
      <w:r>
        <w:rPr>
          <w:sz w:val="24"/>
          <w:szCs w:val="24"/>
        </w:rPr>
        <w:t xml:space="preserve"> Shows </w:t>
      </w:r>
      <w:r w:rsidRPr="00586A98">
        <w:rPr>
          <w:sz w:val="24"/>
          <w:szCs w:val="24"/>
        </w:rPr>
        <w:t>the increase in median sale price over 2019 to 2023 across MSAs. There is a higher jump in median sale price increase consistently across the top 25 MSAs than in the bottom 25, where the gap is consistently smaller.</w:t>
      </w:r>
    </w:p>
    <w:p w:rsidR="00C80274" w:rsidP="00534F70" w:rsidRDefault="00C80274" w14:paraId="5D4264B7" w14:textId="77777777">
      <w:pPr>
        <w:rPr>
          <w:sz w:val="24"/>
          <w:szCs w:val="24"/>
        </w:rPr>
      </w:pPr>
    </w:p>
    <w:p w:rsidR="00534F70" w:rsidP="00534F70" w:rsidRDefault="00534F70" w14:paraId="7C5FA22A" w14:textId="77777777">
      <w:pPr>
        <w:rPr>
          <w:sz w:val="24"/>
          <w:szCs w:val="24"/>
        </w:rPr>
      </w:pPr>
    </w:p>
    <w:p w:rsidRPr="00586A98" w:rsidR="00534F70" w:rsidP="00534F70" w:rsidRDefault="00534F70" w14:paraId="6EEA267D" w14:textId="77777777">
      <w:pPr>
        <w:rPr>
          <w:sz w:val="24"/>
          <w:szCs w:val="24"/>
        </w:rPr>
      </w:pPr>
    </w:p>
    <w:p w:rsidR="00C80274" w:rsidP="00534F70" w:rsidRDefault="00C80274" w14:paraId="3256FD30" w14:textId="4DE6EA77">
      <w:pPr>
        <w:jc w:val="center"/>
        <w:rPr>
          <w:b/>
          <w:bCs/>
          <w:i/>
          <w:iCs/>
          <w:sz w:val="24"/>
          <w:szCs w:val="24"/>
        </w:rPr>
      </w:pPr>
      <w:r w:rsidRPr="00586A98">
        <w:rPr>
          <w:sz w:val="24"/>
          <w:szCs w:val="24"/>
        </w:rPr>
        <w:lastRenderedPageBreak/>
        <w:drawing>
          <wp:inline distT="0" distB="0" distL="0" distR="0" wp14:anchorId="0A124E0C" wp14:editId="66655EFB">
            <wp:extent cx="6609534" cy="3254542"/>
            <wp:effectExtent l="0" t="0" r="1270" b="3175"/>
            <wp:docPr id="1585285967"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85967" name="Picture 1" descr="A graph of a graph with a red line&#10;&#10;Description automatically generated with medium confidence"/>
                    <pic:cNvPicPr/>
                  </pic:nvPicPr>
                  <pic:blipFill>
                    <a:blip r:embed="rId9"/>
                    <a:stretch>
                      <a:fillRect/>
                    </a:stretch>
                  </pic:blipFill>
                  <pic:spPr>
                    <a:xfrm>
                      <a:off x="0" y="0"/>
                      <a:ext cx="6662038" cy="3280395"/>
                    </a:xfrm>
                    <a:prstGeom prst="rect">
                      <a:avLst/>
                    </a:prstGeom>
                  </pic:spPr>
                </pic:pic>
              </a:graphicData>
            </a:graphic>
          </wp:inline>
        </w:drawing>
      </w:r>
      <w:r w:rsidRPr="00586A98">
        <w:rPr>
          <w:b/>
          <w:bCs/>
          <w:i/>
          <w:iCs/>
          <w:sz w:val="24"/>
          <w:szCs w:val="24"/>
        </w:rPr>
        <w:t>Figure 5</w:t>
      </w:r>
    </w:p>
    <w:p w:rsidRPr="00534F70" w:rsidR="00534F70" w:rsidP="00534F70" w:rsidRDefault="00534F70" w14:paraId="3CCEE1C4" w14:textId="77777777">
      <w:pPr>
        <w:jc w:val="center"/>
        <w:rPr>
          <w:b/>
          <w:bCs/>
          <w:i/>
          <w:iCs/>
          <w:sz w:val="24"/>
          <w:szCs w:val="24"/>
        </w:rPr>
      </w:pPr>
    </w:p>
    <w:p w:rsidRPr="00534F70" w:rsidR="00534F70" w:rsidP="00534F70" w:rsidRDefault="00D132C4" w14:paraId="36AC19F3" w14:textId="7FA5E04D">
      <w:pPr>
        <w:rPr>
          <w:sz w:val="24"/>
          <w:szCs w:val="24"/>
        </w:rPr>
      </w:pPr>
      <w:r w:rsidRPr="00586A98">
        <w:rPr>
          <w:b/>
          <w:bCs/>
          <w:sz w:val="24"/>
          <w:szCs w:val="24"/>
        </w:rPr>
        <w:t xml:space="preserve">Figure </w:t>
      </w:r>
      <w:r>
        <w:rPr>
          <w:b/>
          <w:bCs/>
          <w:sz w:val="24"/>
          <w:szCs w:val="24"/>
        </w:rPr>
        <w:t>5</w:t>
      </w:r>
      <w:r w:rsidRPr="00586A98">
        <w:rPr>
          <w:sz w:val="24"/>
          <w:szCs w:val="24"/>
        </w:rPr>
        <w:t>.</w:t>
      </w:r>
      <w:r w:rsidR="0034335F">
        <w:rPr>
          <w:sz w:val="24"/>
          <w:szCs w:val="24"/>
        </w:rPr>
        <w:t xml:space="preserve"> Shows</w:t>
      </w:r>
      <w:r w:rsidR="00534F70">
        <w:rPr>
          <w:sz w:val="24"/>
          <w:szCs w:val="24"/>
        </w:rPr>
        <w:t xml:space="preserve"> </w:t>
      </w:r>
      <w:r w:rsidRPr="00534F70" w:rsidR="00534F70">
        <w:rPr>
          <w:sz w:val="24"/>
          <w:szCs w:val="24"/>
        </w:rPr>
        <w:t>the Per Capital Personal Income of individuals within an MSA against the Home Median Sale Price. This graph is useful to highlight the MSAs where personal income can be considered low when compared to the cost of living (with regards to home prices).</w:t>
      </w:r>
    </w:p>
    <w:p w:rsidRPr="00534F70" w:rsidR="00534F70" w:rsidP="00534F70" w:rsidRDefault="00534F70" w14:paraId="6AC9B1ED" w14:textId="61E05F6F">
      <w:pPr>
        <w:rPr>
          <w:sz w:val="24"/>
          <w:szCs w:val="24"/>
        </w:rPr>
      </w:pPr>
      <w:r w:rsidRPr="00534F70">
        <w:rPr>
          <w:sz w:val="24"/>
          <w:szCs w:val="24"/>
        </w:rPr>
        <w:t>Anywhere where the red dot of Adjusted PCPI is within the blue bar of Median Sale Price can be considered places of high cost of living. This includes many MSAs in California but also some less known MSAs like Glenwood Springs, CO and Orlando, FL.</w:t>
      </w:r>
    </w:p>
    <w:p w:rsidRPr="00586A98" w:rsidR="00D132C4" w:rsidP="00534F70" w:rsidRDefault="00534F70" w14:paraId="42C95C1F" w14:textId="15583844">
      <w:pPr>
        <w:rPr>
          <w:sz w:val="24"/>
          <w:szCs w:val="24"/>
        </w:rPr>
      </w:pPr>
      <w:r w:rsidRPr="00534F70">
        <w:rPr>
          <w:sz w:val="24"/>
          <w:szCs w:val="24"/>
        </w:rPr>
        <w:t>Inversely</w:t>
      </w:r>
      <w:r w:rsidRPr="00534F70">
        <w:rPr>
          <w:sz w:val="24"/>
          <w:szCs w:val="24"/>
        </w:rPr>
        <w:t>, MSAs with large gaps between Median Sale Price and Adjusted PCPI can be considered markets with stable economies and favorable individual purchasing power.</w:t>
      </w:r>
    </w:p>
    <w:p w:rsidR="00586A98" w:rsidP="00C80274" w:rsidRDefault="00586A98" w14:paraId="2080DE51" w14:textId="77777777">
      <w:pPr>
        <w:rPr>
          <w:sz w:val="24"/>
          <w:szCs w:val="24"/>
          <w:u w:val="single"/>
        </w:rPr>
      </w:pPr>
    </w:p>
    <w:p w:rsidR="00534F70" w:rsidP="00C80274" w:rsidRDefault="00534F70" w14:paraId="55B9B815" w14:textId="77777777">
      <w:pPr>
        <w:rPr>
          <w:sz w:val="24"/>
          <w:szCs w:val="24"/>
          <w:u w:val="single"/>
        </w:rPr>
      </w:pPr>
    </w:p>
    <w:p w:rsidR="00534F70" w:rsidP="00C80274" w:rsidRDefault="00534F70" w14:paraId="053DD394" w14:textId="77777777">
      <w:pPr>
        <w:rPr>
          <w:sz w:val="24"/>
          <w:szCs w:val="24"/>
          <w:u w:val="single"/>
        </w:rPr>
      </w:pPr>
    </w:p>
    <w:p w:rsidR="00534F70" w:rsidP="00C80274" w:rsidRDefault="00534F70" w14:paraId="52545163" w14:textId="77777777">
      <w:pPr>
        <w:rPr>
          <w:sz w:val="24"/>
          <w:szCs w:val="24"/>
          <w:u w:val="single"/>
        </w:rPr>
      </w:pPr>
    </w:p>
    <w:p w:rsidR="00534F70" w:rsidP="00C80274" w:rsidRDefault="00534F70" w14:paraId="62E46021" w14:textId="77777777">
      <w:pPr>
        <w:rPr>
          <w:sz w:val="24"/>
          <w:szCs w:val="24"/>
          <w:u w:val="single"/>
        </w:rPr>
      </w:pPr>
    </w:p>
    <w:p w:rsidR="00534F70" w:rsidP="00C80274" w:rsidRDefault="00534F70" w14:paraId="74EEF5F1" w14:textId="77777777">
      <w:pPr>
        <w:rPr>
          <w:sz w:val="24"/>
          <w:szCs w:val="24"/>
          <w:u w:val="single"/>
        </w:rPr>
      </w:pPr>
    </w:p>
    <w:p w:rsidR="00534F70" w:rsidP="00C80274" w:rsidRDefault="00534F70" w14:paraId="4CF99669" w14:textId="77777777">
      <w:pPr>
        <w:rPr>
          <w:sz w:val="24"/>
          <w:szCs w:val="24"/>
          <w:u w:val="single"/>
        </w:rPr>
      </w:pPr>
    </w:p>
    <w:p w:rsidRPr="00586A98" w:rsidR="00534F70" w:rsidP="00C80274" w:rsidRDefault="00534F70" w14:paraId="50649C59" w14:textId="77777777" w14:noSpellErr="1">
      <w:pPr>
        <w:rPr>
          <w:sz w:val="24"/>
          <w:szCs w:val="24"/>
          <w:u w:val="single"/>
        </w:rPr>
      </w:pPr>
    </w:p>
    <w:p w:rsidR="08ACCD02" w:rsidP="08ACCD02" w:rsidRDefault="08ACCD02" w14:paraId="459D9E80" w14:textId="40EA36C5">
      <w:pPr>
        <w:pStyle w:val="Normal"/>
        <w:rPr>
          <w:sz w:val="24"/>
          <w:szCs w:val="24"/>
          <w:u w:val="single"/>
        </w:rPr>
      </w:pPr>
    </w:p>
    <w:p w:rsidRPr="00586A98" w:rsidR="00586A98" w:rsidP="00C80274" w:rsidRDefault="00586A98" w14:paraId="2E9F271B" w14:textId="4F6F8D71">
      <w:pPr>
        <w:rPr>
          <w:b/>
          <w:bCs/>
          <w:sz w:val="24"/>
          <w:szCs w:val="24"/>
          <w:u w:val="single"/>
        </w:rPr>
      </w:pPr>
      <w:r w:rsidRPr="00586A98">
        <w:rPr>
          <w:b/>
          <w:bCs/>
          <w:sz w:val="24"/>
          <w:szCs w:val="24"/>
          <w:u w:val="single"/>
        </w:rPr>
        <w:lastRenderedPageBreak/>
        <w:t>Comprehensive Insight</w:t>
      </w:r>
    </w:p>
    <w:p w:rsidRPr="00B80D5F" w:rsidR="00AB57C3" w:rsidP="00B80D5F" w:rsidRDefault="00586A98" w14:paraId="2265B15D" w14:textId="1F9556FA">
      <w:pPr>
        <w:pStyle w:val="ListParagraph"/>
        <w:numPr>
          <w:ilvl w:val="0"/>
          <w:numId w:val="2"/>
        </w:numPr>
        <w:rPr>
          <w:rFonts w:cs="Helvetica"/>
          <w:color w:val="000000"/>
          <w:sz w:val="24"/>
          <w:szCs w:val="24"/>
          <w:shd w:val="clear" w:color="auto" w:fill="FFFFFF"/>
        </w:rPr>
      </w:pPr>
      <w:r w:rsidRPr="00586A98">
        <w:rPr>
          <w:rFonts w:cs="Helvetica"/>
          <w:color w:val="000000"/>
          <w:sz w:val="24"/>
          <w:szCs w:val="24"/>
          <w:shd w:val="clear" w:color="auto" w:fill="FFFFFF"/>
        </w:rPr>
        <w:t xml:space="preserve">We know that Market Areas with lower purchasing power tend to have higher home prices. </w:t>
      </w:r>
    </w:p>
    <w:p w:rsidRPr="00B80D5F" w:rsidR="00586A98" w:rsidP="00B80D5F" w:rsidRDefault="00586A98" w14:paraId="3F49E6D6" w14:textId="490B1E5C">
      <w:pPr>
        <w:pStyle w:val="ListParagraph"/>
        <w:numPr>
          <w:ilvl w:val="0"/>
          <w:numId w:val="2"/>
        </w:numPr>
        <w:rPr>
          <w:rFonts w:cs="Helvetica"/>
          <w:color w:val="000000"/>
          <w:sz w:val="24"/>
          <w:szCs w:val="24"/>
          <w:shd w:val="clear" w:color="auto" w:fill="FFFFFF"/>
        </w:rPr>
      </w:pPr>
      <w:r w:rsidRPr="00586A98">
        <w:rPr>
          <w:rFonts w:cs="Helvetica"/>
          <w:color w:val="000000"/>
          <w:sz w:val="24"/>
          <w:szCs w:val="24"/>
          <w:shd w:val="clear" w:color="auto" w:fill="FFFFFF"/>
        </w:rPr>
        <w:t>Home prices have historically gone up from 2019 to 2023 in all Market Areas.</w:t>
      </w:r>
    </w:p>
    <w:p w:rsidRPr="00B80D5F" w:rsidR="00586A98" w:rsidP="00B80D5F" w:rsidRDefault="0018413A" w14:paraId="3541FB13" w14:textId="008E884C">
      <w:pPr>
        <w:pStyle w:val="ListParagraph"/>
        <w:numPr>
          <w:ilvl w:val="0"/>
          <w:numId w:val="2"/>
        </w:numPr>
        <w:rPr>
          <w:rFonts w:cs="Helvetica"/>
          <w:color w:val="000000"/>
          <w:sz w:val="24"/>
          <w:szCs w:val="24"/>
          <w:shd w:val="clear" w:color="auto" w:fill="FFFFFF"/>
        </w:rPr>
      </w:pPr>
      <w:r>
        <w:rPr>
          <w:rFonts w:cs="Helvetica"/>
          <w:color w:val="000000"/>
          <w:sz w:val="24"/>
          <w:szCs w:val="24"/>
          <w:shd w:val="clear" w:color="auto" w:fill="FFFFFF"/>
        </w:rPr>
        <w:t>Rental Home</w:t>
      </w:r>
      <w:r w:rsidR="00AB57C3">
        <w:rPr>
          <w:rFonts w:cs="Helvetica"/>
          <w:color w:val="000000"/>
          <w:sz w:val="24"/>
          <w:szCs w:val="24"/>
          <w:shd w:val="clear" w:color="auto" w:fill="FFFFFF"/>
        </w:rPr>
        <w:t xml:space="preserve"> </w:t>
      </w:r>
      <w:r w:rsidRPr="00586A98" w:rsidR="00AB57C3">
        <w:rPr>
          <w:rFonts w:cs="Helvetica"/>
          <w:color w:val="000000"/>
          <w:sz w:val="24"/>
          <w:szCs w:val="24"/>
          <w:shd w:val="clear" w:color="auto" w:fill="FFFFFF"/>
        </w:rPr>
        <w:t>Investors</w:t>
      </w:r>
      <w:r w:rsidR="004074C9">
        <w:rPr>
          <w:rFonts w:cs="Helvetica"/>
          <w:color w:val="000000"/>
          <w:sz w:val="24"/>
          <w:szCs w:val="24"/>
          <w:shd w:val="clear" w:color="auto" w:fill="FFFFFF"/>
        </w:rPr>
        <w:t xml:space="preserve"> </w:t>
      </w:r>
      <w:r w:rsidR="00412000">
        <w:rPr>
          <w:rFonts w:cs="Helvetica"/>
          <w:color w:val="000000"/>
          <w:sz w:val="24"/>
          <w:szCs w:val="24"/>
          <w:shd w:val="clear" w:color="auto" w:fill="FFFFFF"/>
        </w:rPr>
        <w:t>looking</w:t>
      </w:r>
      <w:r w:rsidR="004074C9">
        <w:rPr>
          <w:rFonts w:cs="Helvetica"/>
          <w:color w:val="000000"/>
          <w:sz w:val="24"/>
          <w:szCs w:val="24"/>
          <w:shd w:val="clear" w:color="auto" w:fill="FFFFFF"/>
        </w:rPr>
        <w:t xml:space="preserve"> for monthly rental income </w:t>
      </w:r>
      <w:r w:rsidR="00412000">
        <w:rPr>
          <w:rFonts w:cs="Helvetica"/>
          <w:color w:val="000000"/>
          <w:sz w:val="24"/>
          <w:szCs w:val="24"/>
          <w:shd w:val="clear" w:color="auto" w:fill="FFFFFF"/>
        </w:rPr>
        <w:t>as a source of net profit</w:t>
      </w:r>
      <w:r w:rsidRPr="00586A98" w:rsidR="00AB57C3">
        <w:rPr>
          <w:rFonts w:cs="Helvetica"/>
          <w:color w:val="000000"/>
          <w:sz w:val="24"/>
          <w:szCs w:val="24"/>
          <w:shd w:val="clear" w:color="auto" w:fill="FFFFFF"/>
        </w:rPr>
        <w:t xml:space="preserve"> should </w:t>
      </w:r>
      <w:r w:rsidR="00AB57C3">
        <w:rPr>
          <w:rFonts w:cs="Helvetica"/>
          <w:color w:val="000000"/>
          <w:sz w:val="24"/>
          <w:szCs w:val="24"/>
          <w:shd w:val="clear" w:color="auto" w:fill="FFFFFF"/>
        </w:rPr>
        <w:t>avoid Market Areas with low purchasing power</w:t>
      </w:r>
      <w:r w:rsidR="00412000">
        <w:rPr>
          <w:rFonts w:cs="Helvetica"/>
          <w:color w:val="000000"/>
          <w:sz w:val="24"/>
          <w:szCs w:val="24"/>
          <w:shd w:val="clear" w:color="auto" w:fill="FFFFFF"/>
        </w:rPr>
        <w:t>.</w:t>
      </w:r>
      <w:r w:rsidR="00AB57C3">
        <w:rPr>
          <w:rFonts w:cs="Helvetica"/>
          <w:color w:val="000000"/>
          <w:sz w:val="24"/>
          <w:szCs w:val="24"/>
          <w:shd w:val="clear" w:color="auto" w:fill="FFFFFF"/>
        </w:rPr>
        <w:t xml:space="preserve"> </w:t>
      </w:r>
      <w:r w:rsidR="00412000">
        <w:rPr>
          <w:rFonts w:cs="Helvetica"/>
          <w:color w:val="000000"/>
          <w:sz w:val="24"/>
          <w:szCs w:val="24"/>
          <w:shd w:val="clear" w:color="auto" w:fill="FFFFFF"/>
        </w:rPr>
        <w:t>H</w:t>
      </w:r>
      <w:r w:rsidR="00AB57C3">
        <w:rPr>
          <w:rFonts w:cs="Helvetica"/>
          <w:color w:val="000000"/>
          <w:sz w:val="24"/>
          <w:szCs w:val="24"/>
          <w:shd w:val="clear" w:color="auto" w:fill="FFFFFF"/>
        </w:rPr>
        <w:t xml:space="preserve">omes </w:t>
      </w:r>
      <w:r w:rsidR="00412000">
        <w:rPr>
          <w:rFonts w:cs="Helvetica"/>
          <w:color w:val="000000"/>
          <w:sz w:val="24"/>
          <w:szCs w:val="24"/>
          <w:shd w:val="clear" w:color="auto" w:fill="FFFFFF"/>
        </w:rPr>
        <w:t xml:space="preserve">in these markets </w:t>
      </w:r>
      <w:r w:rsidR="00AB57C3">
        <w:rPr>
          <w:rFonts w:cs="Helvetica"/>
          <w:color w:val="000000"/>
          <w:sz w:val="24"/>
          <w:szCs w:val="24"/>
          <w:shd w:val="clear" w:color="auto" w:fill="FFFFFF"/>
        </w:rPr>
        <w:t xml:space="preserve">will be more expensive, and Landlords will have to </w:t>
      </w:r>
      <w:r w:rsidR="00422C1B">
        <w:rPr>
          <w:rFonts w:cs="Helvetica"/>
          <w:color w:val="000000"/>
          <w:sz w:val="24"/>
          <w:szCs w:val="24"/>
          <w:shd w:val="clear" w:color="auto" w:fill="FFFFFF"/>
        </w:rPr>
        <w:t>charge</w:t>
      </w:r>
      <w:r w:rsidR="00AB57C3">
        <w:rPr>
          <w:rFonts w:cs="Helvetica"/>
          <w:color w:val="000000"/>
          <w:sz w:val="24"/>
          <w:szCs w:val="24"/>
          <w:shd w:val="clear" w:color="auto" w:fill="FFFFFF"/>
        </w:rPr>
        <w:t xml:space="preserve"> more for rent to recoup their investments, all while in an economic market that makes it difficult for individuals to pay higher rents.</w:t>
      </w:r>
    </w:p>
    <w:p w:rsidRPr="00B80D5F" w:rsidR="008944C1" w:rsidP="00B80D5F" w:rsidRDefault="00305828" w14:paraId="00DE8084" w14:textId="589C71C6">
      <w:pPr>
        <w:pStyle w:val="ListParagraph"/>
        <w:numPr>
          <w:ilvl w:val="0"/>
          <w:numId w:val="2"/>
        </w:numPr>
        <w:rPr>
          <w:rFonts w:cs="Helvetica"/>
          <w:color w:val="000000"/>
          <w:sz w:val="24"/>
          <w:szCs w:val="24"/>
          <w:shd w:val="clear" w:color="auto" w:fill="FFFFFF"/>
        </w:rPr>
      </w:pPr>
      <w:r>
        <w:rPr>
          <w:rFonts w:cs="Helvetica"/>
          <w:color w:val="000000"/>
          <w:sz w:val="24"/>
          <w:szCs w:val="24"/>
          <w:shd w:val="clear" w:color="auto" w:fill="FFFFFF"/>
        </w:rPr>
        <w:t xml:space="preserve">Markets that have seen sharp increases in median sale price from 2019 – 2023 are considered areas with high cost of living and are difficult for </w:t>
      </w:r>
      <w:r w:rsidR="0018413A">
        <w:rPr>
          <w:rFonts w:cs="Helvetica"/>
          <w:color w:val="000000"/>
          <w:sz w:val="24"/>
          <w:szCs w:val="24"/>
          <w:shd w:val="clear" w:color="auto" w:fill="FFFFFF"/>
        </w:rPr>
        <w:t>Rental Home</w:t>
      </w:r>
      <w:r>
        <w:rPr>
          <w:rFonts w:cs="Helvetica"/>
          <w:color w:val="000000"/>
          <w:sz w:val="24"/>
          <w:szCs w:val="24"/>
          <w:shd w:val="clear" w:color="auto" w:fill="FFFFFF"/>
        </w:rPr>
        <w:t xml:space="preserve"> Investors to recoup their investment</w:t>
      </w:r>
      <w:r w:rsidR="00AF5B31">
        <w:rPr>
          <w:rFonts w:cs="Helvetica"/>
          <w:color w:val="000000"/>
          <w:sz w:val="24"/>
          <w:szCs w:val="24"/>
          <w:shd w:val="clear" w:color="auto" w:fill="FFFFFF"/>
        </w:rPr>
        <w:t xml:space="preserve"> with</w:t>
      </w:r>
      <w:r w:rsidR="008944C1">
        <w:rPr>
          <w:rFonts w:cs="Helvetica"/>
          <w:color w:val="000000"/>
          <w:sz w:val="24"/>
          <w:szCs w:val="24"/>
          <w:shd w:val="clear" w:color="auto" w:fill="FFFFFF"/>
        </w:rPr>
        <w:t xml:space="preserve"> monthly</w:t>
      </w:r>
      <w:r w:rsidR="00AF5B31">
        <w:rPr>
          <w:rFonts w:cs="Helvetica"/>
          <w:color w:val="000000"/>
          <w:sz w:val="24"/>
          <w:szCs w:val="24"/>
          <w:shd w:val="clear" w:color="auto" w:fill="FFFFFF"/>
        </w:rPr>
        <w:t xml:space="preserve"> rent</w:t>
      </w:r>
      <w:r w:rsidR="008944C1">
        <w:rPr>
          <w:rFonts w:cs="Helvetica"/>
          <w:color w:val="000000"/>
          <w:sz w:val="24"/>
          <w:szCs w:val="24"/>
          <w:shd w:val="clear" w:color="auto" w:fill="FFFFFF"/>
        </w:rPr>
        <w:t>al income</w:t>
      </w:r>
      <w:r w:rsidR="00AF5B31">
        <w:rPr>
          <w:rFonts w:cs="Helvetica"/>
          <w:color w:val="000000"/>
          <w:sz w:val="24"/>
          <w:szCs w:val="24"/>
          <w:shd w:val="clear" w:color="auto" w:fill="FFFFFF"/>
        </w:rPr>
        <w:t xml:space="preserve"> alone.</w:t>
      </w:r>
    </w:p>
    <w:p w:rsidRPr="00B80D5F" w:rsidR="00D132C4" w:rsidP="00B80D5F" w:rsidRDefault="00C809C1" w14:paraId="120E637B" w14:textId="5C3BBC9A">
      <w:pPr>
        <w:pStyle w:val="ListParagraph"/>
        <w:numPr>
          <w:ilvl w:val="0"/>
          <w:numId w:val="2"/>
        </w:numPr>
        <w:rPr>
          <w:rFonts w:cs="Helvetica"/>
          <w:color w:val="000000"/>
          <w:sz w:val="24"/>
          <w:szCs w:val="24"/>
          <w:shd w:val="clear" w:color="auto" w:fill="FFFFFF"/>
        </w:rPr>
      </w:pPr>
      <w:r>
        <w:rPr>
          <w:rFonts w:cs="Helvetica"/>
          <w:color w:val="000000"/>
          <w:sz w:val="24"/>
          <w:szCs w:val="24"/>
          <w:shd w:val="clear" w:color="auto" w:fill="FFFFFF"/>
        </w:rPr>
        <w:t xml:space="preserve">Markets on the lower 25 spots of Figure 4 are considered to have </w:t>
      </w:r>
      <w:r w:rsidR="000E4502">
        <w:rPr>
          <w:rFonts w:cs="Helvetica"/>
          <w:color w:val="000000"/>
          <w:sz w:val="24"/>
          <w:szCs w:val="24"/>
          <w:shd w:val="clear" w:color="auto" w:fill="FFFFFF"/>
        </w:rPr>
        <w:t>stable housing markets</w:t>
      </w:r>
      <w:r>
        <w:rPr>
          <w:rFonts w:cs="Helvetica"/>
          <w:color w:val="000000"/>
          <w:sz w:val="24"/>
          <w:szCs w:val="24"/>
          <w:shd w:val="clear" w:color="auto" w:fill="FFFFFF"/>
        </w:rPr>
        <w:t xml:space="preserve"> and </w:t>
      </w:r>
      <w:r w:rsidR="002F7816">
        <w:rPr>
          <w:rFonts w:cs="Helvetica"/>
          <w:color w:val="000000"/>
          <w:sz w:val="24"/>
          <w:szCs w:val="24"/>
          <w:shd w:val="clear" w:color="auto" w:fill="FFFFFF"/>
        </w:rPr>
        <w:t>higher average rental income yields closer to 10%</w:t>
      </w:r>
      <w:r w:rsidR="00321EF7">
        <w:rPr>
          <w:rFonts w:cs="Helvetica"/>
          <w:color w:val="000000"/>
          <w:sz w:val="24"/>
          <w:szCs w:val="24"/>
          <w:shd w:val="clear" w:color="auto" w:fill="FFFFFF"/>
        </w:rPr>
        <w:t xml:space="preserve"> a year</w:t>
      </w:r>
      <w:r w:rsidR="002F7816">
        <w:rPr>
          <w:rFonts w:cs="Helvetica"/>
          <w:color w:val="000000"/>
          <w:sz w:val="24"/>
          <w:szCs w:val="24"/>
          <w:shd w:val="clear" w:color="auto" w:fill="FFFFFF"/>
        </w:rPr>
        <w:t>. While Markets on the upper</w:t>
      </w:r>
      <w:r w:rsidR="000E4502">
        <w:rPr>
          <w:rFonts w:cs="Helvetica"/>
          <w:color w:val="000000"/>
          <w:sz w:val="24"/>
          <w:szCs w:val="24"/>
          <w:shd w:val="clear" w:color="auto" w:fill="FFFFFF"/>
        </w:rPr>
        <w:t xml:space="preserve"> </w:t>
      </w:r>
      <w:r w:rsidR="002F7816">
        <w:rPr>
          <w:rFonts w:cs="Helvetica"/>
          <w:color w:val="000000"/>
          <w:sz w:val="24"/>
          <w:szCs w:val="24"/>
          <w:shd w:val="clear" w:color="auto" w:fill="FFFFFF"/>
        </w:rPr>
        <w:t xml:space="preserve">25 spots of Figure 4 are considered to have </w:t>
      </w:r>
      <w:r w:rsidR="0034335F">
        <w:rPr>
          <w:rFonts w:cs="Helvetica"/>
          <w:color w:val="000000"/>
          <w:sz w:val="24"/>
          <w:szCs w:val="24"/>
          <w:shd w:val="clear" w:color="auto" w:fill="FFFFFF"/>
        </w:rPr>
        <w:t xml:space="preserve">booming or </w:t>
      </w:r>
      <w:r w:rsidR="00582170">
        <w:rPr>
          <w:rFonts w:cs="Helvetica"/>
          <w:color w:val="000000"/>
          <w:sz w:val="24"/>
          <w:szCs w:val="24"/>
          <w:shd w:val="clear" w:color="auto" w:fill="FFFFFF"/>
        </w:rPr>
        <w:t>high-cost</w:t>
      </w:r>
      <w:r w:rsidR="002F7816">
        <w:rPr>
          <w:rFonts w:cs="Helvetica"/>
          <w:color w:val="000000"/>
          <w:sz w:val="24"/>
          <w:szCs w:val="24"/>
          <w:shd w:val="clear" w:color="auto" w:fill="FFFFFF"/>
        </w:rPr>
        <w:t xml:space="preserve"> </w:t>
      </w:r>
      <w:r w:rsidR="0034335F">
        <w:rPr>
          <w:rFonts w:cs="Helvetica"/>
          <w:color w:val="000000"/>
          <w:sz w:val="24"/>
          <w:szCs w:val="24"/>
          <w:shd w:val="clear" w:color="auto" w:fill="FFFFFF"/>
        </w:rPr>
        <w:t xml:space="preserve">housing markets </w:t>
      </w:r>
      <w:r w:rsidR="002F7816">
        <w:rPr>
          <w:rFonts w:cs="Helvetica"/>
          <w:color w:val="000000"/>
          <w:sz w:val="24"/>
          <w:szCs w:val="24"/>
          <w:shd w:val="clear" w:color="auto" w:fill="FFFFFF"/>
        </w:rPr>
        <w:t xml:space="preserve">and </w:t>
      </w:r>
      <w:r w:rsidR="00D132C4">
        <w:rPr>
          <w:rFonts w:cs="Helvetica"/>
          <w:color w:val="000000"/>
          <w:sz w:val="24"/>
          <w:szCs w:val="24"/>
          <w:shd w:val="clear" w:color="auto" w:fill="FFFFFF"/>
        </w:rPr>
        <w:t xml:space="preserve">lower average </w:t>
      </w:r>
      <w:r w:rsidR="0034335F">
        <w:rPr>
          <w:rFonts w:cs="Helvetica"/>
          <w:color w:val="000000"/>
          <w:sz w:val="24"/>
          <w:szCs w:val="24"/>
          <w:shd w:val="clear" w:color="auto" w:fill="FFFFFF"/>
        </w:rPr>
        <w:t>rental</w:t>
      </w:r>
      <w:r w:rsidR="00D132C4">
        <w:rPr>
          <w:rFonts w:cs="Helvetica"/>
          <w:color w:val="000000"/>
          <w:sz w:val="24"/>
          <w:szCs w:val="24"/>
          <w:shd w:val="clear" w:color="auto" w:fill="FFFFFF"/>
        </w:rPr>
        <w:t xml:space="preserve"> income yields closer to 6%</w:t>
      </w:r>
      <w:r w:rsidR="00321EF7">
        <w:rPr>
          <w:rFonts w:cs="Helvetica"/>
          <w:color w:val="000000"/>
          <w:sz w:val="24"/>
          <w:szCs w:val="24"/>
          <w:shd w:val="clear" w:color="auto" w:fill="FFFFFF"/>
        </w:rPr>
        <w:t xml:space="preserve"> a year</w:t>
      </w:r>
      <w:r w:rsidR="00D132C4">
        <w:rPr>
          <w:rFonts w:cs="Helvetica"/>
          <w:color w:val="000000"/>
          <w:sz w:val="24"/>
          <w:szCs w:val="24"/>
          <w:shd w:val="clear" w:color="auto" w:fill="FFFFFF"/>
        </w:rPr>
        <w:t>.</w:t>
      </w:r>
    </w:p>
    <w:p w:rsidR="009176E4" w:rsidP="00586A98" w:rsidRDefault="00D900FC" w14:paraId="44F9AA18" w14:textId="7B81FD74">
      <w:pPr>
        <w:pStyle w:val="ListParagraph"/>
        <w:numPr>
          <w:ilvl w:val="0"/>
          <w:numId w:val="2"/>
        </w:numPr>
        <w:rPr>
          <w:rFonts w:cs="Helvetica"/>
          <w:color w:val="000000"/>
          <w:sz w:val="24"/>
          <w:szCs w:val="24"/>
          <w:shd w:val="clear" w:color="auto" w:fill="FFFFFF"/>
        </w:rPr>
      </w:pPr>
      <w:r>
        <w:rPr>
          <w:rFonts w:cs="Helvetica"/>
          <w:color w:val="000000"/>
          <w:sz w:val="24"/>
          <w:szCs w:val="24"/>
          <w:shd w:val="clear" w:color="auto" w:fill="FFFFFF"/>
        </w:rPr>
        <w:t xml:space="preserve">Homes with large gaps </w:t>
      </w:r>
      <w:r>
        <w:rPr>
          <w:rFonts w:cs="Helvetica"/>
          <w:color w:val="000000"/>
          <w:sz w:val="24"/>
          <w:szCs w:val="24"/>
          <w:shd w:val="clear" w:color="auto" w:fill="FFFFFF"/>
        </w:rPr>
        <w:t xml:space="preserve">between Median</w:t>
      </w:r>
      <w:r>
        <w:rPr>
          <w:rFonts w:cs="Helvetica"/>
          <w:color w:val="000000"/>
          <w:sz w:val="24"/>
          <w:szCs w:val="24"/>
          <w:shd w:val="clear" w:color="auto" w:fill="FFFFFF"/>
        </w:rPr>
        <w:t xml:space="preserve"> Sale Price and PCPI in Figure 5 can be considered markets with stable economies and favorable individual purchasing power. These markets are favorable for </w:t>
      </w:r>
      <w:r w:rsidR="0018413A">
        <w:rPr>
          <w:rFonts w:cs="Helvetica"/>
          <w:color w:val="000000"/>
          <w:sz w:val="24"/>
          <w:szCs w:val="24"/>
          <w:shd w:val="clear" w:color="auto" w:fill="FFFFFF"/>
        </w:rPr>
        <w:t>Rental Home</w:t>
      </w:r>
      <w:r>
        <w:rPr>
          <w:rFonts w:cs="Helvetica"/>
          <w:color w:val="000000"/>
          <w:sz w:val="24"/>
          <w:szCs w:val="24"/>
          <w:shd w:val="clear" w:color="auto" w:fill="FFFFFF"/>
        </w:rPr>
        <w:t xml:space="preserve"> Investors </w:t>
      </w:r>
      <w:r w:rsidR="00582170">
        <w:rPr>
          <w:rFonts w:cs="Helvetica"/>
          <w:color w:val="000000"/>
          <w:sz w:val="24"/>
          <w:szCs w:val="24"/>
          <w:shd w:val="clear" w:color="auto" w:fill="FFFFFF"/>
        </w:rPr>
        <w:t>seeking</w:t>
      </w:r>
      <w:r>
        <w:rPr>
          <w:rFonts w:cs="Helvetica"/>
          <w:color w:val="000000"/>
          <w:sz w:val="24"/>
          <w:szCs w:val="24"/>
          <w:shd w:val="clear" w:color="auto" w:fill="FFFFFF"/>
        </w:rPr>
        <w:t xml:space="preserve"> monthly rental incomes to yield higher </w:t>
      </w:r>
      <w:r w:rsidR="009176E4">
        <w:rPr>
          <w:rFonts w:cs="Helvetica"/>
          <w:color w:val="000000"/>
          <w:sz w:val="24"/>
          <w:szCs w:val="24"/>
          <w:shd w:val="clear" w:color="auto" w:fill="FFFFFF"/>
        </w:rPr>
        <w:t xml:space="preserve">percent </w:t>
      </w:r>
      <w:r>
        <w:rPr>
          <w:rFonts w:cs="Helvetica"/>
          <w:color w:val="000000"/>
          <w:sz w:val="24"/>
          <w:szCs w:val="24"/>
          <w:shd w:val="clear" w:color="auto" w:fill="FFFFFF"/>
        </w:rPr>
        <w:t>returns</w:t>
      </w:r>
      <w:r w:rsidR="009176E4">
        <w:rPr>
          <w:rFonts w:cs="Helvetica"/>
          <w:color w:val="000000"/>
          <w:sz w:val="24"/>
          <w:szCs w:val="24"/>
          <w:shd w:val="clear" w:color="auto" w:fill="FFFFFF"/>
        </w:rPr>
        <w:t>.</w:t>
      </w:r>
    </w:p>
    <w:p w:rsidRPr="00B80D5F" w:rsidR="009176E4" w:rsidP="00B80D5F" w:rsidRDefault="00B80D5F" w14:paraId="1544E3D9" w14:textId="0A7A815E">
      <w:pPr>
        <w:rPr>
          <w:rFonts w:cs="Helvetica"/>
          <w:b/>
          <w:bCs/>
          <w:color w:val="000000"/>
          <w:sz w:val="24"/>
          <w:szCs w:val="24"/>
          <w:u w:val="single"/>
          <w:shd w:val="clear" w:color="auto" w:fill="FFFFFF"/>
        </w:rPr>
      </w:pPr>
      <w:r w:rsidRPr="00B80D5F">
        <w:rPr>
          <w:rFonts w:cs="Helvetica"/>
          <w:b/>
          <w:bCs/>
          <w:color w:val="000000"/>
          <w:sz w:val="24"/>
          <w:szCs w:val="24"/>
          <w:u w:val="single"/>
          <w:shd w:val="clear" w:color="auto" w:fill="FFFFFF"/>
        </w:rPr>
        <w:t>Recommendations</w:t>
      </w:r>
    </w:p>
    <w:p w:rsidR="00D132C4" w:rsidP="00B80D5F" w:rsidRDefault="009176E4" w14:paraId="1E3FD656" w14:textId="62C70C8C">
      <w:pPr>
        <w:rPr>
          <w:rFonts w:cs="Helvetica"/>
          <w:color w:val="000000"/>
          <w:sz w:val="24"/>
          <w:szCs w:val="24"/>
          <w:shd w:val="clear" w:color="auto" w:fill="FFFFFF"/>
        </w:rPr>
      </w:pPr>
      <w:r>
        <w:rPr>
          <w:rFonts w:cs="Helvetica"/>
          <w:color w:val="000000"/>
          <w:sz w:val="24"/>
          <w:szCs w:val="24"/>
          <w:shd w:val="clear" w:color="auto" w:fill="FFFFFF"/>
        </w:rPr>
        <w:t xml:space="preserve">My recommendation for a </w:t>
      </w:r>
      <w:r w:rsidR="0018413A">
        <w:rPr>
          <w:rFonts w:cs="Helvetica"/>
          <w:color w:val="000000"/>
          <w:sz w:val="24"/>
          <w:szCs w:val="24"/>
          <w:shd w:val="clear" w:color="auto" w:fill="FFFFFF"/>
        </w:rPr>
        <w:t xml:space="preserve">Rental Home Investor </w:t>
      </w:r>
      <w:r w:rsidR="005C4F36">
        <w:rPr>
          <w:rFonts w:cs="Helvetica"/>
          <w:color w:val="000000"/>
          <w:sz w:val="24"/>
          <w:szCs w:val="24"/>
          <w:shd w:val="clear" w:color="auto" w:fill="FFFFFF"/>
        </w:rPr>
        <w:t xml:space="preserve">interested primarily in </w:t>
      </w:r>
      <w:r w:rsidR="005C4F36">
        <w:rPr>
          <w:rFonts w:cs="Helvetica"/>
          <w:color w:val="000000"/>
          <w:sz w:val="24"/>
          <w:szCs w:val="24"/>
          <w:shd w:val="clear" w:color="auto" w:fill="FFFFFF"/>
        </w:rPr>
        <w:t>maximizing</w:t>
      </w:r>
      <w:r w:rsidR="005C4F36">
        <w:rPr>
          <w:rFonts w:cs="Helvetica"/>
          <w:color w:val="000000"/>
          <w:sz w:val="24"/>
          <w:szCs w:val="24"/>
          <w:shd w:val="clear" w:color="auto" w:fill="FFFFFF"/>
        </w:rPr>
        <w:t xml:space="preserve"> </w:t>
      </w:r>
      <w:r w:rsidR="00321EF7">
        <w:rPr>
          <w:rFonts w:cs="Helvetica"/>
          <w:color w:val="000000"/>
          <w:sz w:val="24"/>
          <w:szCs w:val="24"/>
          <w:shd w:val="clear" w:color="auto" w:fill="FFFFFF"/>
        </w:rPr>
        <w:t xml:space="preserve">the </w:t>
      </w:r>
      <w:r w:rsidR="005C4F36">
        <w:rPr>
          <w:rFonts w:cs="Helvetica"/>
          <w:color w:val="000000"/>
          <w:sz w:val="24"/>
          <w:szCs w:val="24"/>
          <w:shd w:val="clear" w:color="auto" w:fill="FFFFFF"/>
        </w:rPr>
        <w:t>percent yield of their rental home investments</w:t>
      </w:r>
      <w:r w:rsidR="00E51F96">
        <w:rPr>
          <w:rFonts w:cs="Helvetica"/>
          <w:color w:val="000000"/>
          <w:sz w:val="24"/>
          <w:szCs w:val="24"/>
          <w:shd w:val="clear" w:color="auto" w:fill="FFFFFF"/>
        </w:rPr>
        <w:t xml:space="preserve"> i</w:t>
      </w:r>
      <w:r w:rsidR="00582170">
        <w:rPr>
          <w:rFonts w:cs="Helvetica"/>
          <w:color w:val="000000"/>
          <w:sz w:val="24"/>
          <w:szCs w:val="24"/>
          <w:shd w:val="clear" w:color="auto" w:fill="FFFFFF"/>
        </w:rPr>
        <w:t>s to stick to Markets with</w:t>
      </w:r>
      <w:r w:rsidRPr="009176E4" w:rsidR="00D900FC">
        <w:rPr>
          <w:rFonts w:cs="Helvetica"/>
          <w:color w:val="000000"/>
          <w:sz w:val="24"/>
          <w:szCs w:val="24"/>
          <w:shd w:val="clear" w:color="auto" w:fill="FFFFFF"/>
        </w:rPr>
        <w:t xml:space="preserve"> </w:t>
      </w:r>
      <w:r w:rsidR="00DA1DEC">
        <w:rPr>
          <w:rFonts w:cs="Helvetica"/>
          <w:color w:val="000000"/>
          <w:sz w:val="24"/>
          <w:szCs w:val="24"/>
          <w:shd w:val="clear" w:color="auto" w:fill="FFFFFF"/>
        </w:rPr>
        <w:t>a stable</w:t>
      </w:r>
      <w:r w:rsidR="00582170">
        <w:rPr>
          <w:rFonts w:cs="Helvetica"/>
          <w:color w:val="000000"/>
          <w:sz w:val="24"/>
          <w:szCs w:val="24"/>
          <w:shd w:val="clear" w:color="auto" w:fill="FFFFFF"/>
        </w:rPr>
        <w:t xml:space="preserve"> cost of living and </w:t>
      </w:r>
      <w:r w:rsidR="00DA1DEC">
        <w:rPr>
          <w:rFonts w:cs="Helvetica"/>
          <w:color w:val="000000"/>
          <w:sz w:val="24"/>
          <w:szCs w:val="24"/>
          <w:shd w:val="clear" w:color="auto" w:fill="FFFFFF"/>
        </w:rPr>
        <w:t xml:space="preserve">higher purchasing power. These areas will </w:t>
      </w:r>
      <w:r w:rsidR="001C5448">
        <w:rPr>
          <w:rFonts w:cs="Helvetica"/>
          <w:color w:val="000000"/>
          <w:sz w:val="24"/>
          <w:szCs w:val="24"/>
          <w:shd w:val="clear" w:color="auto" w:fill="FFFFFF"/>
        </w:rPr>
        <w:t>result in</w:t>
      </w:r>
      <w:r w:rsidR="00DA1DEC">
        <w:rPr>
          <w:rFonts w:cs="Helvetica"/>
          <w:color w:val="000000"/>
          <w:sz w:val="24"/>
          <w:szCs w:val="24"/>
          <w:shd w:val="clear" w:color="auto" w:fill="FFFFFF"/>
        </w:rPr>
        <w:t xml:space="preserve"> higher rental income yields</w:t>
      </w:r>
      <w:r w:rsidR="003D0BBC">
        <w:rPr>
          <w:rFonts w:cs="Helvetica"/>
          <w:color w:val="000000"/>
          <w:sz w:val="24"/>
          <w:szCs w:val="24"/>
          <w:shd w:val="clear" w:color="auto" w:fill="FFFFFF"/>
        </w:rPr>
        <w:t xml:space="preserve"> and lower home </w:t>
      </w:r>
      <w:r w:rsidR="00114C74">
        <w:rPr>
          <w:rFonts w:cs="Helvetica"/>
          <w:color w:val="000000"/>
          <w:sz w:val="24"/>
          <w:szCs w:val="24"/>
          <w:shd w:val="clear" w:color="auto" w:fill="FFFFFF"/>
        </w:rPr>
        <w:t>prices</w:t>
      </w:r>
      <w:r w:rsidR="005C4F36">
        <w:rPr>
          <w:rFonts w:cs="Helvetica"/>
          <w:color w:val="000000"/>
          <w:sz w:val="24"/>
          <w:szCs w:val="24"/>
          <w:shd w:val="clear" w:color="auto" w:fill="FFFFFF"/>
        </w:rPr>
        <w:t>.</w:t>
      </w:r>
      <w:r w:rsidR="00114C74">
        <w:rPr>
          <w:rFonts w:cs="Helvetica"/>
          <w:color w:val="000000"/>
          <w:sz w:val="24"/>
          <w:szCs w:val="24"/>
          <w:shd w:val="clear" w:color="auto" w:fill="FFFFFF"/>
        </w:rPr>
        <w:t xml:space="preserve"> These markets are easier for newer investors to enter and begin to recoup their investments with month</w:t>
      </w:r>
      <w:r w:rsidR="001A7E9E">
        <w:rPr>
          <w:rFonts w:cs="Helvetica"/>
          <w:color w:val="000000"/>
          <w:sz w:val="24"/>
          <w:szCs w:val="24"/>
          <w:shd w:val="clear" w:color="auto" w:fill="FFFFFF"/>
        </w:rPr>
        <w:t>ly rental income alone.</w:t>
      </w:r>
    </w:p>
    <w:p w:rsidR="00B80D5F" w:rsidP="00B80D5F" w:rsidRDefault="001A7E9E" w14:paraId="2EE3595A" w14:textId="2BFEB237">
      <w:pPr>
        <w:pStyle w:val="ListParagraph"/>
        <w:numPr>
          <w:ilvl w:val="0"/>
          <w:numId w:val="3"/>
        </w:numPr>
        <w:rPr>
          <w:rFonts w:cs="Helvetica"/>
          <w:color w:val="000000"/>
          <w:sz w:val="24"/>
          <w:szCs w:val="24"/>
          <w:shd w:val="clear" w:color="auto" w:fill="FFFFFF"/>
        </w:rPr>
      </w:pPr>
      <w:r w:rsidRPr="00B80D5F">
        <w:rPr>
          <w:rFonts w:cs="Helvetica"/>
          <w:color w:val="000000"/>
          <w:sz w:val="24"/>
          <w:szCs w:val="24"/>
          <w:shd w:val="clear" w:color="auto" w:fill="FFFFFF"/>
        </w:rPr>
        <w:t xml:space="preserve">On average it will take a high purchasing power market </w:t>
      </w:r>
      <w:r w:rsidRPr="00B80D5F">
        <w:rPr>
          <w:rFonts w:cs="Helvetica"/>
          <w:color w:val="000000"/>
          <w:sz w:val="24"/>
          <w:szCs w:val="24"/>
          <w:shd w:val="clear" w:color="auto" w:fill="FFFFFF"/>
        </w:rPr>
        <w:t>roughly 10</w:t>
      </w:r>
      <w:r w:rsidRPr="00B80D5F">
        <w:rPr>
          <w:rFonts w:cs="Helvetica"/>
          <w:color w:val="000000"/>
          <w:sz w:val="24"/>
          <w:szCs w:val="24"/>
          <w:shd w:val="clear" w:color="auto" w:fill="FFFFFF"/>
        </w:rPr>
        <w:t xml:space="preserve"> years to recoup</w:t>
      </w:r>
      <w:r w:rsidRPr="00B80D5F" w:rsidR="007C1584">
        <w:rPr>
          <w:rFonts w:cs="Helvetica"/>
          <w:color w:val="000000"/>
          <w:sz w:val="24"/>
          <w:szCs w:val="24"/>
          <w:shd w:val="clear" w:color="auto" w:fill="FFFFFF"/>
        </w:rPr>
        <w:t xml:space="preserve"> an investment on a rental property</w:t>
      </w:r>
      <w:r w:rsidRPr="00B80D5F" w:rsidR="00B80D5F">
        <w:rPr>
          <w:rFonts w:cs="Helvetica"/>
          <w:color w:val="000000"/>
          <w:sz w:val="24"/>
          <w:szCs w:val="24"/>
          <w:shd w:val="clear" w:color="auto" w:fill="FFFFFF"/>
        </w:rPr>
        <w:t xml:space="preserve"> with monthly rental income alone.</w:t>
      </w:r>
      <w:r w:rsidRPr="00B80D5F" w:rsidR="007C1584">
        <w:rPr>
          <w:rFonts w:cs="Helvetica"/>
          <w:color w:val="000000"/>
          <w:sz w:val="24"/>
          <w:szCs w:val="24"/>
          <w:shd w:val="clear" w:color="auto" w:fill="FFFFFF"/>
        </w:rPr>
        <w:t xml:space="preserve"> </w:t>
      </w:r>
    </w:p>
    <w:p w:rsidRPr="00B80D5F" w:rsidR="001A7E9E" w:rsidP="00B80D5F" w:rsidRDefault="00B80D5F" w14:paraId="75864CBC" w14:textId="64DA89BF">
      <w:pPr>
        <w:pStyle w:val="ListParagraph"/>
        <w:numPr>
          <w:ilvl w:val="0"/>
          <w:numId w:val="3"/>
        </w:numPr>
        <w:rPr>
          <w:rFonts w:cs="Helvetica"/>
          <w:color w:val="000000"/>
          <w:sz w:val="24"/>
          <w:szCs w:val="24"/>
          <w:shd w:val="clear" w:color="auto" w:fill="FFFFFF"/>
        </w:rPr>
      </w:pPr>
      <w:r w:rsidRPr="00B80D5F">
        <w:rPr>
          <w:rFonts w:cs="Helvetica"/>
          <w:color w:val="000000"/>
          <w:sz w:val="24"/>
          <w:szCs w:val="24"/>
          <w:shd w:val="clear" w:color="auto" w:fill="FFFFFF"/>
        </w:rPr>
        <w:t>W</w:t>
      </w:r>
      <w:r w:rsidRPr="00B80D5F" w:rsidR="007C1584">
        <w:rPr>
          <w:rFonts w:cs="Helvetica"/>
          <w:color w:val="000000"/>
          <w:sz w:val="24"/>
          <w:szCs w:val="24"/>
          <w:shd w:val="clear" w:color="auto" w:fill="FFFFFF"/>
        </w:rPr>
        <w:t xml:space="preserve">hile it will on average take a low purchasing power market roughly </w:t>
      </w:r>
      <w:r w:rsidRPr="00B80D5F">
        <w:rPr>
          <w:rFonts w:cs="Helvetica"/>
          <w:color w:val="000000"/>
          <w:sz w:val="24"/>
          <w:szCs w:val="24"/>
          <w:shd w:val="clear" w:color="auto" w:fill="FFFFFF"/>
        </w:rPr>
        <w:t>17 years to recoup an investment on a rental property with monthly rental income alone.</w:t>
      </w:r>
    </w:p>
    <w:p w:rsidRPr="009176E4" w:rsidR="001C5448" w:rsidP="00B80D5F" w:rsidRDefault="001C5448" w14:paraId="2AAA9FF1" w14:textId="1243DCDA">
      <w:pPr>
        <w:rPr>
          <w:rFonts w:cs="Helvetica"/>
          <w:color w:val="000000"/>
          <w:sz w:val="24"/>
          <w:szCs w:val="24"/>
          <w:shd w:val="clear" w:color="auto" w:fill="FFFFFF"/>
        </w:rPr>
      </w:pPr>
      <w:r>
        <w:rPr>
          <w:rFonts w:cs="Helvetica"/>
          <w:color w:val="000000"/>
          <w:sz w:val="24"/>
          <w:szCs w:val="24"/>
          <w:shd w:val="clear" w:color="auto" w:fill="FFFFFF"/>
        </w:rPr>
        <w:t xml:space="preserve">Additionally, if an </w:t>
      </w:r>
      <w:r w:rsidR="00606163">
        <w:rPr>
          <w:rFonts w:cs="Helvetica"/>
          <w:color w:val="000000"/>
          <w:sz w:val="24"/>
          <w:szCs w:val="24"/>
          <w:shd w:val="clear" w:color="auto" w:fill="FFFFFF"/>
        </w:rPr>
        <w:t>individual</w:t>
      </w:r>
      <w:r>
        <w:rPr>
          <w:rFonts w:cs="Helvetica"/>
          <w:color w:val="000000"/>
          <w:sz w:val="24"/>
          <w:szCs w:val="24"/>
          <w:shd w:val="clear" w:color="auto" w:fill="FFFFFF"/>
        </w:rPr>
        <w:t xml:space="preserve"> is looking to buy a property for long term </w:t>
      </w:r>
      <w:r w:rsidR="00606163">
        <w:rPr>
          <w:rFonts w:cs="Helvetica"/>
          <w:color w:val="000000"/>
          <w:sz w:val="24"/>
          <w:szCs w:val="24"/>
          <w:shd w:val="clear" w:color="auto" w:fill="FFFFFF"/>
        </w:rPr>
        <w:t>purposes, such as a primary home, it is recommended to buy this home sooner rather than later since all</w:t>
      </w:r>
      <w:r w:rsidR="00B80D5F">
        <w:rPr>
          <w:rFonts w:cs="Helvetica"/>
          <w:color w:val="000000"/>
          <w:sz w:val="24"/>
          <w:szCs w:val="24"/>
          <w:shd w:val="clear" w:color="auto" w:fill="FFFFFF"/>
        </w:rPr>
        <w:t xml:space="preserve"> </w:t>
      </w:r>
      <w:r w:rsidR="00606163">
        <w:rPr>
          <w:rFonts w:cs="Helvetica"/>
          <w:color w:val="000000"/>
          <w:sz w:val="24"/>
          <w:szCs w:val="24"/>
          <w:shd w:val="clear" w:color="auto" w:fill="FFFFFF"/>
        </w:rPr>
        <w:t xml:space="preserve">markets </w:t>
      </w:r>
      <w:r w:rsidR="0082734C">
        <w:rPr>
          <w:rFonts w:cs="Helvetica"/>
          <w:color w:val="000000"/>
          <w:sz w:val="24"/>
          <w:szCs w:val="24"/>
          <w:shd w:val="clear" w:color="auto" w:fill="FFFFFF"/>
        </w:rPr>
        <w:t xml:space="preserve">see increases in home prices year over </w:t>
      </w:r>
      <w:r w:rsidR="00C3512E">
        <w:rPr>
          <w:rFonts w:cs="Helvetica"/>
          <w:color w:val="000000"/>
          <w:sz w:val="24"/>
          <w:szCs w:val="24"/>
          <w:shd w:val="clear" w:color="auto" w:fill="FFFFFF"/>
        </w:rPr>
        <w:t>year,</w:t>
      </w:r>
      <w:r w:rsidR="0082734C">
        <w:rPr>
          <w:rFonts w:cs="Helvetica"/>
          <w:color w:val="000000"/>
          <w:sz w:val="24"/>
          <w:szCs w:val="24"/>
          <w:shd w:val="clear" w:color="auto" w:fill="FFFFFF"/>
        </w:rPr>
        <w:t xml:space="preserve"> especially in </w:t>
      </w:r>
      <w:r w:rsidR="003D0BBC">
        <w:rPr>
          <w:rFonts w:cs="Helvetica"/>
          <w:color w:val="000000"/>
          <w:sz w:val="24"/>
          <w:szCs w:val="24"/>
          <w:shd w:val="clear" w:color="auto" w:fill="FFFFFF"/>
        </w:rPr>
        <w:t>markets with lower purchasing power.</w:t>
      </w:r>
    </w:p>
    <w:sectPr w:rsidRPr="009176E4" w:rsidR="001C54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44E0"/>
    <w:multiLevelType w:val="hybridMultilevel"/>
    <w:tmpl w:val="EF6CA7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47A72F6"/>
    <w:multiLevelType w:val="hybridMultilevel"/>
    <w:tmpl w:val="48A419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C2205D2"/>
    <w:multiLevelType w:val="hybridMultilevel"/>
    <w:tmpl w:val="073E53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578713942">
    <w:abstractNumId w:val="1"/>
  </w:num>
  <w:num w:numId="2" w16cid:durableId="110780426">
    <w:abstractNumId w:val="0"/>
  </w:num>
  <w:num w:numId="3" w16cid:durableId="704060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70"/>
    <w:rsid w:val="00002DA8"/>
    <w:rsid w:val="00086FD0"/>
    <w:rsid w:val="000E4502"/>
    <w:rsid w:val="00114C74"/>
    <w:rsid w:val="0018413A"/>
    <w:rsid w:val="001A7E9E"/>
    <w:rsid w:val="001C5448"/>
    <w:rsid w:val="002F7816"/>
    <w:rsid w:val="00305828"/>
    <w:rsid w:val="00321EF7"/>
    <w:rsid w:val="0034335F"/>
    <w:rsid w:val="003B5D70"/>
    <w:rsid w:val="003D0BBC"/>
    <w:rsid w:val="004074C9"/>
    <w:rsid w:val="00412000"/>
    <w:rsid w:val="00422C1B"/>
    <w:rsid w:val="00534F70"/>
    <w:rsid w:val="00582170"/>
    <w:rsid w:val="00586A98"/>
    <w:rsid w:val="005C4F36"/>
    <w:rsid w:val="00606163"/>
    <w:rsid w:val="007C1584"/>
    <w:rsid w:val="0082734C"/>
    <w:rsid w:val="008944C1"/>
    <w:rsid w:val="008D6F42"/>
    <w:rsid w:val="009176E4"/>
    <w:rsid w:val="00AB57C3"/>
    <w:rsid w:val="00AF5B31"/>
    <w:rsid w:val="00B80D5F"/>
    <w:rsid w:val="00C3512E"/>
    <w:rsid w:val="00C40893"/>
    <w:rsid w:val="00C80274"/>
    <w:rsid w:val="00C809C1"/>
    <w:rsid w:val="00D132C4"/>
    <w:rsid w:val="00D24319"/>
    <w:rsid w:val="00D900FC"/>
    <w:rsid w:val="00DA1DEC"/>
    <w:rsid w:val="00E0122B"/>
    <w:rsid w:val="00E51F96"/>
    <w:rsid w:val="08ACCD02"/>
    <w:rsid w:val="4BCEA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87FE"/>
  <w15:chartTrackingRefBased/>
  <w15:docId w15:val="{4924953E-22F5-44A9-8149-B1B7498F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5D7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D7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D7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5D7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B5D7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B5D7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B5D7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B5D7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B5D7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B5D7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B5D7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B5D70"/>
    <w:rPr>
      <w:rFonts w:eastAsiaTheme="majorEastAsia" w:cstheme="majorBidi"/>
      <w:color w:val="272727" w:themeColor="text1" w:themeTint="D8"/>
    </w:rPr>
  </w:style>
  <w:style w:type="paragraph" w:styleId="Title">
    <w:name w:val="Title"/>
    <w:basedOn w:val="Normal"/>
    <w:next w:val="Normal"/>
    <w:link w:val="TitleChar"/>
    <w:uiPriority w:val="10"/>
    <w:qFormat/>
    <w:rsid w:val="003B5D7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5D7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B5D7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B5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D70"/>
    <w:pPr>
      <w:spacing w:before="160"/>
      <w:jc w:val="center"/>
    </w:pPr>
    <w:rPr>
      <w:i/>
      <w:iCs/>
      <w:color w:val="404040" w:themeColor="text1" w:themeTint="BF"/>
    </w:rPr>
  </w:style>
  <w:style w:type="character" w:styleId="QuoteChar" w:customStyle="1">
    <w:name w:val="Quote Char"/>
    <w:basedOn w:val="DefaultParagraphFont"/>
    <w:link w:val="Quote"/>
    <w:uiPriority w:val="29"/>
    <w:rsid w:val="003B5D70"/>
    <w:rPr>
      <w:i/>
      <w:iCs/>
      <w:color w:val="404040" w:themeColor="text1" w:themeTint="BF"/>
    </w:rPr>
  </w:style>
  <w:style w:type="paragraph" w:styleId="ListParagraph">
    <w:name w:val="List Paragraph"/>
    <w:basedOn w:val="Normal"/>
    <w:uiPriority w:val="34"/>
    <w:qFormat/>
    <w:rsid w:val="003B5D70"/>
    <w:pPr>
      <w:ind w:left="720"/>
      <w:contextualSpacing/>
    </w:pPr>
  </w:style>
  <w:style w:type="character" w:styleId="IntenseEmphasis">
    <w:name w:val="Intense Emphasis"/>
    <w:basedOn w:val="DefaultParagraphFont"/>
    <w:uiPriority w:val="21"/>
    <w:qFormat/>
    <w:rsid w:val="003B5D70"/>
    <w:rPr>
      <w:i/>
      <w:iCs/>
      <w:color w:val="0F4761" w:themeColor="accent1" w:themeShade="BF"/>
    </w:rPr>
  </w:style>
  <w:style w:type="paragraph" w:styleId="IntenseQuote">
    <w:name w:val="Intense Quote"/>
    <w:basedOn w:val="Normal"/>
    <w:next w:val="Normal"/>
    <w:link w:val="IntenseQuoteChar"/>
    <w:uiPriority w:val="30"/>
    <w:qFormat/>
    <w:rsid w:val="003B5D7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B5D70"/>
    <w:rPr>
      <w:i/>
      <w:iCs/>
      <w:color w:val="0F4761" w:themeColor="accent1" w:themeShade="BF"/>
    </w:rPr>
  </w:style>
  <w:style w:type="character" w:styleId="IntenseReference">
    <w:name w:val="Intense Reference"/>
    <w:basedOn w:val="DefaultParagraphFont"/>
    <w:uiPriority w:val="32"/>
    <w:qFormat/>
    <w:rsid w:val="003B5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Ivan Rodriguez</dc:creator>
  <keywords/>
  <dc:description/>
  <lastModifiedBy>Ivan Rodriguez</lastModifiedBy>
  <revision>33</revision>
  <dcterms:created xsi:type="dcterms:W3CDTF">2024-02-25T16:37:00.0000000Z</dcterms:created>
  <dcterms:modified xsi:type="dcterms:W3CDTF">2024-02-27T17:41:04.0698805Z</dcterms:modified>
</coreProperties>
</file>