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55" w:rsidRPr="00993D55" w:rsidRDefault="00993D55" w:rsidP="00993D55">
      <w:pPr>
        <w:shd w:val="clear" w:color="auto" w:fill="EDEDED"/>
        <w:spacing w:after="0" w:line="600" w:lineRule="atLeast"/>
        <w:outlineLvl w:val="0"/>
        <w:rPr>
          <w:rFonts w:ascii="Helvetica" w:eastAsia="Times New Roman" w:hAnsi="Helvetica" w:cs="Helvetica"/>
          <w:b/>
          <w:bCs/>
          <w:caps/>
          <w:color w:val="262B2E"/>
          <w:kern w:val="36"/>
          <w:sz w:val="45"/>
          <w:szCs w:val="45"/>
          <w:lang w:val="en-GB" w:eastAsia="it-IT"/>
        </w:rPr>
      </w:pPr>
      <w:bookmarkStart w:id="0" w:name="_GoBack"/>
      <w:r w:rsidRPr="00993D55">
        <w:rPr>
          <w:rFonts w:ascii="Helvetica" w:eastAsia="Times New Roman" w:hAnsi="Helvetica" w:cs="Helvetica"/>
          <w:b/>
          <w:bCs/>
          <w:caps/>
          <w:color w:val="262B2E"/>
          <w:kern w:val="36"/>
          <w:sz w:val="45"/>
          <w:szCs w:val="45"/>
          <w:lang w:val="en-GB" w:eastAsia="it-IT"/>
        </w:rPr>
        <w:t>OAUTH FOR BUSINESS CENTRAL ON-PREMISES SERVICE TO SERVICE AUTHENTICATION</w:t>
      </w:r>
    </w:p>
    <w:bookmarkEnd w:id="0"/>
    <w:p w:rsidR="00C04686" w:rsidRDefault="00993D55">
      <w:pPr>
        <w:rPr>
          <w:lang w:val="en-GB"/>
        </w:rPr>
      </w:pPr>
    </w:p>
    <w:p w:rsidR="00993D55" w:rsidRDefault="00993D55">
      <w:pPr>
        <w:rPr>
          <w:lang w:val="en-GB"/>
        </w:rPr>
      </w:pPr>
    </w:p>
    <w:p w:rsidR="00993D55" w:rsidRPr="00993D55" w:rsidRDefault="00993D55" w:rsidP="00993D55">
      <w:pPr>
        <w:pStyle w:val="Titolo2"/>
        <w:shd w:val="clear" w:color="auto" w:fill="FFFFFF"/>
        <w:spacing w:before="0" w:after="150" w:line="660" w:lineRule="atLeast"/>
        <w:rPr>
          <w:rFonts w:ascii="Helvetica" w:hAnsi="Helvetica" w:cs="Helvetica"/>
          <w:color w:val="262B2E"/>
          <w:sz w:val="54"/>
          <w:szCs w:val="54"/>
          <w:lang w:val="en-GB"/>
        </w:rPr>
      </w:pPr>
      <w:r w:rsidRPr="00993D55">
        <w:rPr>
          <w:rFonts w:ascii="Helvetica" w:hAnsi="Helvetica" w:cs="Helvetica"/>
          <w:color w:val="262B2E"/>
          <w:sz w:val="54"/>
          <w:szCs w:val="54"/>
          <w:lang w:val="en-GB"/>
        </w:rPr>
        <w:t>Introduction</w:t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 xml:space="preserve">There are already many great posts online and even Microsoft presentations that explain how to </w:t>
      </w:r>
      <w:proofErr w:type="gramStart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Authenticate</w:t>
      </w:r>
      <w:proofErr w:type="gramEnd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 xml:space="preserve"> to Business Central using OAuth 2.0. But most of them are focused on the cloud version.</w:t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As I’ve been asked to blog about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how OAuth 2.0 Business Central Authentication can be used for the On-Premise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 version and I also worked on a related task recently, I thought it would be interesting to write about it.</w:t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 xml:space="preserve">The example is about Service to Service Authentication into Business Central and not OAuth authentication with user interaction. I think that many integrations will use this feature. Because when </w:t>
      </w:r>
      <w:proofErr w:type="gramStart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systems(</w:t>
      </w:r>
      <w:proofErr w:type="gramEnd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or Business Central companies inside the same system) communicate with each other we usually don’t want user interaction.</w:t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At the moment I believe the most common way to access Business Central web services is with </w:t>
      </w:r>
      <w:hyperlink r:id="rId4" w:tgtFrame="_blank" w:history="1">
        <w:r w:rsidRPr="00993D55">
          <w:rPr>
            <w:rStyle w:val="Collegamentoipertestuale"/>
            <w:rFonts w:ascii="Helvetica" w:hAnsi="Helvetica" w:cs="Helvetica"/>
            <w:color w:val="1EBBF0"/>
            <w:sz w:val="21"/>
            <w:szCs w:val="21"/>
            <w:lang w:val="en-GB"/>
          </w:rPr>
          <w:t>Basic Authentication</w:t>
        </w:r>
      </w:hyperlink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 (UserName and Password or Web Service Access Key).</w:t>
      </w:r>
    </w:p>
    <w:p w:rsidR="00993D55" w:rsidRDefault="00993D55" w:rsidP="00993D55">
      <w:pPr>
        <w:pStyle w:val="Titolo2"/>
        <w:shd w:val="clear" w:color="auto" w:fill="FFFFFF"/>
        <w:spacing w:before="0" w:after="150" w:line="660" w:lineRule="atLeast"/>
        <w:rPr>
          <w:rFonts w:ascii="Helvetica" w:hAnsi="Helvetica" w:cs="Helvetica"/>
          <w:color w:val="262B2E"/>
          <w:sz w:val="54"/>
          <w:szCs w:val="54"/>
          <w:lang w:val="en-GB"/>
        </w:rPr>
      </w:pPr>
    </w:p>
    <w:p w:rsidR="00993D55" w:rsidRPr="00993D55" w:rsidRDefault="00993D55" w:rsidP="00993D55">
      <w:pPr>
        <w:pStyle w:val="Titolo2"/>
        <w:shd w:val="clear" w:color="auto" w:fill="FFFFFF"/>
        <w:spacing w:before="0" w:after="150" w:line="660" w:lineRule="atLeast"/>
        <w:rPr>
          <w:rFonts w:ascii="Helvetica" w:hAnsi="Helvetica" w:cs="Helvetica"/>
          <w:color w:val="262B2E"/>
          <w:sz w:val="54"/>
          <w:szCs w:val="54"/>
          <w:lang w:val="en-GB"/>
        </w:rPr>
      </w:pPr>
      <w:r w:rsidRPr="00993D55">
        <w:rPr>
          <w:rFonts w:ascii="Helvetica" w:hAnsi="Helvetica" w:cs="Helvetica"/>
          <w:color w:val="262B2E"/>
          <w:sz w:val="54"/>
          <w:szCs w:val="54"/>
          <w:lang w:val="en-GB"/>
        </w:rPr>
        <w:t>Why OAuth for Business Central?</w:t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Microsoft announced the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retirement of Basic Authentication in 2022 for the cloud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 version of Business Central. At the moment it is not planned to retire Basic Authentication for On-Premise environments. However, for security reasons or to prepare for cloud and make sure that existing integrations can handle OAuth, there might be the need to use it for On-Prem environments as well.</w:t>
      </w:r>
    </w:p>
    <w:p w:rsidR="00993D55" w:rsidRDefault="00993D55" w:rsidP="00993D55">
      <w:pPr>
        <w:pStyle w:val="Titolo2"/>
        <w:shd w:val="clear" w:color="auto" w:fill="FFFFFF"/>
        <w:spacing w:before="0" w:after="150" w:line="660" w:lineRule="atLeast"/>
        <w:rPr>
          <w:rFonts w:ascii="Helvetica" w:hAnsi="Helvetica" w:cs="Helvetica"/>
          <w:color w:val="262B2E"/>
          <w:sz w:val="54"/>
          <w:szCs w:val="54"/>
          <w:lang w:val="en-GB"/>
        </w:rPr>
      </w:pPr>
    </w:p>
    <w:p w:rsidR="00993D55" w:rsidRPr="00993D55" w:rsidRDefault="00993D55" w:rsidP="00993D55">
      <w:pPr>
        <w:pStyle w:val="Titolo2"/>
        <w:shd w:val="clear" w:color="auto" w:fill="FFFFFF"/>
        <w:spacing w:before="0" w:after="150" w:line="660" w:lineRule="atLeast"/>
        <w:rPr>
          <w:rFonts w:ascii="Helvetica" w:hAnsi="Helvetica" w:cs="Helvetica"/>
          <w:color w:val="262B2E"/>
          <w:sz w:val="54"/>
          <w:szCs w:val="54"/>
          <w:lang w:val="en-GB"/>
        </w:rPr>
      </w:pPr>
      <w:r w:rsidRPr="00993D55">
        <w:rPr>
          <w:rFonts w:ascii="Helvetica" w:hAnsi="Helvetica" w:cs="Helvetica"/>
          <w:color w:val="262B2E"/>
          <w:sz w:val="54"/>
          <w:szCs w:val="54"/>
          <w:lang w:val="en-GB"/>
        </w:rPr>
        <w:t>Steps to use OAuth in Business Central On-Premise</w:t>
      </w:r>
    </w:p>
    <w:p w:rsid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OAuth for Business Central On-Premises can be used only if Single Single-On (SSO) is enabled.</w:t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1) So, the first step is to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Configure SSO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 for the Business Central Environment. All necessary steps can be found here</w:t>
      </w:r>
      <w:proofErr w:type="gramStart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:</w:t>
      </w:r>
      <w:proofErr w:type="gramEnd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</w:r>
      <w:hyperlink r:id="rId5" w:tgtFrame="_blank" w:history="1">
        <w:r w:rsidRPr="00993D55">
          <w:rPr>
            <w:rStyle w:val="Collegamentoipertestuale"/>
            <w:rFonts w:ascii="Helvetica" w:hAnsi="Helvetica" w:cs="Helvetica"/>
            <w:color w:val="1EBBF0"/>
            <w:sz w:val="21"/>
            <w:szCs w:val="21"/>
            <w:lang w:val="en-GB"/>
          </w:rPr>
          <w:t>https://docs.microsoft.com/en-us/dynamics365/business-central/dev-itpro/administration/authenticating-users-with-azure-active-directory</w:t>
        </w:r>
      </w:hyperlink>
    </w:p>
    <w:p w:rsid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</w:pP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IMPORTANT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:</w:t>
      </w:r>
    </w:p>
    <w:p w:rsidR="00993D55" w:rsidRPr="00993D55" w:rsidRDefault="00993D55" w:rsidP="00993D55">
      <w:pPr>
        <w:pStyle w:val="NormaleWeb"/>
        <w:shd w:val="clear" w:color="auto" w:fill="B1B1B1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</w:pPr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t>Please note that if you set the BC Middle Tier Client Credentials type to “</w:t>
      </w:r>
      <w:proofErr w:type="spellStart"/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t>AccessControlService</w:t>
      </w:r>
      <w:proofErr w:type="spellEnd"/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t xml:space="preserve">” (as mentioned in MS documentation), you will not be able to connect Visual Studio Code because at the moment VS Code does not support AAD </w:t>
      </w:r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lastRenderedPageBreak/>
        <w:t>authentication for OnPremise.</w:t>
      </w:r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br/>
        <w:t>The trick is to use Client Credentials type “</w:t>
      </w:r>
      <w:proofErr w:type="spellStart"/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t>NavUserPassword</w:t>
      </w:r>
      <w:proofErr w:type="spellEnd"/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t xml:space="preserve">” instead. This way you are able to use AAD for Web Client and </w:t>
      </w:r>
      <w:proofErr w:type="spellStart"/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t>NavUserPassword</w:t>
      </w:r>
      <w:proofErr w:type="spellEnd"/>
      <w:r w:rsidRPr="00993D55">
        <w:rPr>
          <w:rFonts w:ascii="Helvetica" w:hAnsi="Helvetica" w:cs="Helvetica"/>
          <w:b/>
          <w:bCs/>
          <w:color w:val="262B2E"/>
          <w:sz w:val="23"/>
          <w:szCs w:val="23"/>
          <w:lang w:val="en-GB"/>
        </w:rPr>
        <w:t xml:space="preserve"> for VS Code. We could not find this anywhere in MS documentation, but this combination works.</w:t>
      </w:r>
    </w:p>
    <w:p w:rsid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2) Create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Client Credentials secret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: select the Azure app created for Business Central in the previous step, press “Client Credentials” and create a new secret.</w:t>
      </w:r>
    </w:p>
    <w:p w:rsidR="00993D55" w:rsidRP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3)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Add Permissions in the Azure App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: go to “API Permissions” and add permissions for Business Central: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</w:r>
      <w:r>
        <w:rPr>
          <w:rFonts w:ascii="Helvetica" w:hAnsi="Helvetica" w:cs="Helvetica"/>
          <w:noProof/>
          <w:color w:val="1EBBF0"/>
          <w:sz w:val="21"/>
          <w:szCs w:val="21"/>
        </w:rPr>
        <w:drawing>
          <wp:inline distT="0" distB="0" distL="0" distR="0">
            <wp:extent cx="6179820" cy="1660525"/>
            <wp:effectExtent l="0" t="0" r="0" b="0"/>
            <wp:docPr id="6" name="Immagine 6" descr="https://andreilungu.com/wp-content/uploads/2021/10/01_Azure-DevOps-Permission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ilungu.com/wp-content/uploads/2021/10/01_Azure-DevOps-Permission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</w:p>
    <w:p w:rsidR="00993D55" w:rsidRP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4) Register Azure App and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Add Permissions in Business Central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: Open Business Central Web Client, go to “Azure Active Directory Applications” and create a new application using the “Client Id” of the Azure App. Add BC permissions (please note that you cannot add SUPER permission). Then press action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“Grant Consent”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: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</w:r>
      <w:r>
        <w:rPr>
          <w:rFonts w:ascii="Helvetica" w:hAnsi="Helvetica" w:cs="Helvetica"/>
          <w:noProof/>
          <w:color w:val="1EBBF0"/>
          <w:sz w:val="21"/>
          <w:szCs w:val="21"/>
        </w:rPr>
        <w:drawing>
          <wp:inline distT="0" distB="0" distL="0" distR="0">
            <wp:extent cx="8933815" cy="8218805"/>
            <wp:effectExtent l="0" t="0" r="635" b="0"/>
            <wp:docPr id="5" name="Immagine 5" descr="https://andreilungu.com/wp-content/uploads/2021/10/02_BC-Permission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ndreilungu.com/wp-content/uploads/2021/10/02_BC-Permission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81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5) Now, if everything is setup correctly, you should be able to use OAuth2.0 client services flow:</w:t>
      </w:r>
    </w:p>
    <w:p w:rsidR="00993D55" w:rsidRP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So we have these parameters from the Azure app: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</w:r>
      <w:r>
        <w:rPr>
          <w:rFonts w:ascii="Helvetica" w:hAnsi="Helvetica" w:cs="Helvetica"/>
          <w:noProof/>
          <w:color w:val="1EBBF0"/>
          <w:sz w:val="21"/>
          <w:szCs w:val="21"/>
        </w:rPr>
        <w:drawing>
          <wp:inline distT="0" distB="0" distL="0" distR="0">
            <wp:extent cx="14126210" cy="2974340"/>
            <wp:effectExtent l="0" t="0" r="8890" b="0"/>
            <wp:docPr id="4" name="Immagine 4" descr="https://andreilungu.com/wp-content/uploads/2021/10/03_Azure-AD-app-data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ndreilungu.com/wp-content/uploads/2021/10/03_Azure-AD-app-data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62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55" w:rsidRP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And we can use them to: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  <w:t>–&gt;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Generate a Token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 (using Postman in this example):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</w:r>
      <w:r>
        <w:rPr>
          <w:rFonts w:ascii="Helvetica" w:hAnsi="Helvetica" w:cs="Helvetica"/>
          <w:noProof/>
          <w:color w:val="1EBBF0"/>
          <w:sz w:val="21"/>
          <w:szCs w:val="21"/>
        </w:rPr>
        <w:drawing>
          <wp:inline distT="0" distB="0" distL="0" distR="0">
            <wp:extent cx="14367510" cy="7872095"/>
            <wp:effectExtent l="0" t="0" r="0" b="0"/>
            <wp:docPr id="3" name="Immagine 3" descr="https://andreilungu.com/wp-content/uploads/2021/10/04_Postman-Get-Token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dreilungu.com/wp-content/uploads/2021/10/04_Postman-Get-Token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7510" cy="78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</w:p>
    <w:p w:rsidR="00993D55" w:rsidRP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Mappings are: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</w:r>
      <w:r>
        <w:rPr>
          <w:rFonts w:ascii="Helvetica" w:hAnsi="Helvetica" w:cs="Helvetica"/>
          <w:noProof/>
          <w:color w:val="1EBBF0"/>
          <w:sz w:val="21"/>
          <w:szCs w:val="21"/>
        </w:rPr>
        <w:drawing>
          <wp:inline distT="0" distB="0" distL="0" distR="0">
            <wp:extent cx="7073265" cy="746125"/>
            <wp:effectExtent l="0" t="0" r="0" b="0"/>
            <wp:docPr id="2" name="Immagine 2" descr="https://andreilungu.com/wp-content/uploads/2021/10/06_Mappings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ndreilungu.com/wp-content/uploads/2021/10/06_Mappings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55" w:rsidRPr="00993D55" w:rsidRDefault="00993D55" w:rsidP="00993D55">
      <w:pPr>
        <w:pStyle w:val="photoswipe-wrapp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–&gt; Copy the resulted </w:t>
      </w:r>
      <w:r w:rsidRPr="00993D55">
        <w:rPr>
          <w:rStyle w:val="Enfasigrassetto"/>
          <w:rFonts w:ascii="Helvetica" w:hAnsi="Helvetica" w:cs="Helvetica"/>
          <w:color w:val="676B6D"/>
          <w:sz w:val="21"/>
          <w:szCs w:val="21"/>
          <w:lang w:val="en-GB"/>
        </w:rPr>
        <w:t>Token and use it to Authenticate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 to Business Central API (companies in this example):</w:t>
      </w: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br/>
      </w:r>
      <w:r>
        <w:rPr>
          <w:rFonts w:ascii="Helvetica" w:hAnsi="Helvetica" w:cs="Helvetica"/>
          <w:noProof/>
          <w:color w:val="1EBBF0"/>
          <w:sz w:val="21"/>
          <w:szCs w:val="21"/>
        </w:rPr>
        <w:drawing>
          <wp:inline distT="0" distB="0" distL="0" distR="0">
            <wp:extent cx="12076430" cy="7462520"/>
            <wp:effectExtent l="0" t="0" r="1270" b="5080"/>
            <wp:docPr id="1" name="Immagine 1" descr="https://andreilungu.com/wp-content/uploads/2021/10/05_Postman-Get-Companies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ndreilungu.com/wp-content/uploads/2021/10/05_Postman-Get-Companies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6430" cy="7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Please note that token has expiration date 1 hour by default. I think this can be changed in Azure portal. But it means that any implementation of OAuth2.0 authentication should have a logic to check if existing Token is expired and if it is not expired yet, use it, if it is expired, generate a new valid token.</w:t>
      </w:r>
    </w:p>
    <w:p w:rsidR="00993D55" w:rsidRPr="00993D55" w:rsidRDefault="00993D55" w:rsidP="00993D55">
      <w:pPr>
        <w:pStyle w:val="Titolo2"/>
        <w:shd w:val="clear" w:color="auto" w:fill="FFFFFF"/>
        <w:spacing w:before="0" w:after="150" w:line="660" w:lineRule="atLeast"/>
        <w:rPr>
          <w:rFonts w:ascii="Helvetica" w:hAnsi="Helvetica" w:cs="Helvetica"/>
          <w:color w:val="262B2E"/>
          <w:sz w:val="54"/>
          <w:szCs w:val="54"/>
          <w:lang w:val="en-GB"/>
        </w:rPr>
      </w:pPr>
      <w:r w:rsidRPr="00993D55">
        <w:rPr>
          <w:rFonts w:ascii="Helvetica" w:hAnsi="Helvetica" w:cs="Helvetica"/>
          <w:color w:val="262B2E"/>
          <w:sz w:val="54"/>
          <w:szCs w:val="54"/>
          <w:lang w:val="en-GB"/>
        </w:rPr>
        <w:t>Conclusion</w:t>
      </w:r>
    </w:p>
    <w:p w:rsidR="00993D55" w:rsidRPr="00993D55" w:rsidRDefault="00993D55" w:rsidP="00993D55">
      <w:pPr>
        <w:pStyle w:val="Normale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676B6D"/>
          <w:sz w:val="21"/>
          <w:szCs w:val="21"/>
          <w:lang w:val="en-GB"/>
        </w:rPr>
      </w:pPr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 xml:space="preserve">To setup all of the above is not straightforward, but once all needed configurations are done, using OAuth for Service to Service Authentication in Business Central </w:t>
      </w:r>
      <w:proofErr w:type="gramStart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>On</w:t>
      </w:r>
      <w:proofErr w:type="gramEnd"/>
      <w:r w:rsidRPr="00993D55">
        <w:rPr>
          <w:rFonts w:ascii="Helvetica" w:hAnsi="Helvetica" w:cs="Helvetica"/>
          <w:color w:val="676B6D"/>
          <w:sz w:val="21"/>
          <w:szCs w:val="21"/>
          <w:lang w:val="en-GB"/>
        </w:rPr>
        <w:t xml:space="preserve"> Premises is not so scary anymore.</w:t>
      </w:r>
    </w:p>
    <w:p w:rsidR="00993D55" w:rsidRPr="00993D55" w:rsidRDefault="00993D55">
      <w:pPr>
        <w:rPr>
          <w:lang w:val="en-GB"/>
        </w:rPr>
      </w:pPr>
    </w:p>
    <w:sectPr w:rsidR="00993D55" w:rsidRPr="00993D55" w:rsidSect="00993D55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revisionView w:markup="0" w:comments="0" w:insDel="0" w:formatting="0" w:inkAnnotations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55"/>
    <w:rsid w:val="003548F2"/>
    <w:rsid w:val="005923F8"/>
    <w:rsid w:val="009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7417A-8797-4E0A-B982-23B28A28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93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3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3D5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3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99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93D55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993D55"/>
    <w:rPr>
      <w:color w:val="0000FF"/>
      <w:u w:val="single"/>
    </w:rPr>
  </w:style>
  <w:style w:type="paragraph" w:customStyle="1" w:styleId="photoswipe-wrapper">
    <w:name w:val="photoswipe-wrapper"/>
    <w:basedOn w:val="Normale"/>
    <w:rsid w:val="0099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37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ilungu.com/wp-content/uploads/2021/10/02_BC-Permissions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andreilungu.com/wp-content/uploads/2021/10/04_Postman-Get-Token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andreilungu.com/wp-content/uploads/2021/10/05_Postman-Get-Companies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andreilungu.com/wp-content/uploads/2021/10/01_Azure-DevOps-Permissions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microsoft.com/en-us/dynamics365/business-central/dev-itpro/administration/authenticating-users-with-azure-active-directory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andreilungu.com/wp-content/uploads/2021/10/03_Azure-AD-app-data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microsoft.com/en-us/dynamics-nav/web-services-authentication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andreilungu.com/wp-content/uploads/2021/10/06_Mappings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Stefanetti</dc:creator>
  <cp:keywords/>
  <dc:description/>
  <cp:lastModifiedBy>Roberto Stefanetti</cp:lastModifiedBy>
  <cp:revision>1</cp:revision>
  <dcterms:created xsi:type="dcterms:W3CDTF">2021-10-04T06:51:00Z</dcterms:created>
  <dcterms:modified xsi:type="dcterms:W3CDTF">2021-10-04T06:55:00Z</dcterms:modified>
</cp:coreProperties>
</file>